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4C" w:rsidRDefault="00AE524C" w:rsidP="00EE0627">
      <w:pPr>
        <w:tabs>
          <w:tab w:val="left" w:pos="426"/>
        </w:tabs>
        <w:ind w:firstLineChars="200" w:firstLine="31680"/>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rPr>
        <w:t>2017</w:t>
      </w:r>
      <w:r>
        <w:rPr>
          <w:rFonts w:ascii="方正小标宋简体" w:eastAsia="方正小标宋简体" w:hAnsi="宋体" w:cs="方正小标宋简体" w:hint="eastAsia"/>
          <w:sz w:val="44"/>
          <w:szCs w:val="44"/>
        </w:rPr>
        <w:t>年度霸州市国土资源局部门决算信息公开情况说明</w:t>
      </w:r>
    </w:p>
    <w:p w:rsidR="00AE524C" w:rsidRDefault="00AE524C" w:rsidP="00EE0627">
      <w:pPr>
        <w:ind w:firstLineChars="200" w:firstLine="31680"/>
        <w:jc w:val="center"/>
        <w:rPr>
          <w:rFonts w:ascii="宋体" w:cs="Times New Roman"/>
          <w:sz w:val="44"/>
          <w:szCs w:val="44"/>
        </w:rPr>
      </w:pPr>
    </w:p>
    <w:p w:rsidR="00AE524C" w:rsidRDefault="00AE524C" w:rsidP="00EE0627">
      <w:pPr>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按照《预算法》、《河北省财政厅关于印发</w:t>
      </w:r>
      <w:r>
        <w:rPr>
          <w:rFonts w:ascii="仿宋" w:eastAsia="仿宋" w:hAnsi="仿宋" w:cs="仿宋"/>
          <w:kern w:val="0"/>
          <w:sz w:val="32"/>
          <w:szCs w:val="32"/>
        </w:rPr>
        <w:t>&lt;</w:t>
      </w:r>
      <w:r>
        <w:rPr>
          <w:rFonts w:ascii="仿宋" w:eastAsia="仿宋" w:hAnsi="仿宋" w:cs="仿宋" w:hint="eastAsia"/>
          <w:kern w:val="0"/>
          <w:sz w:val="32"/>
          <w:szCs w:val="32"/>
        </w:rPr>
        <w:t>河北省预决算公开操作规程实施细则＞的通知》（冀财预</w:t>
      </w:r>
      <w:r>
        <w:rPr>
          <w:rFonts w:ascii="仿宋" w:eastAsia="仿宋" w:hAnsi="仿宋" w:cs="仿宋"/>
          <w:kern w:val="0"/>
          <w:sz w:val="32"/>
          <w:szCs w:val="32"/>
        </w:rPr>
        <w:t>[2016]129</w:t>
      </w:r>
      <w:r>
        <w:rPr>
          <w:rFonts w:ascii="仿宋" w:eastAsia="仿宋" w:hAnsi="仿宋" w:cs="仿宋" w:hint="eastAsia"/>
          <w:kern w:val="0"/>
          <w:sz w:val="32"/>
          <w:szCs w:val="32"/>
        </w:rPr>
        <w:t>号）等规定，现将霸州市国土资源局</w:t>
      </w:r>
      <w:r>
        <w:rPr>
          <w:rFonts w:ascii="仿宋" w:eastAsia="仿宋" w:hAnsi="仿宋" w:cs="仿宋"/>
          <w:kern w:val="0"/>
          <w:sz w:val="32"/>
          <w:szCs w:val="32"/>
        </w:rPr>
        <w:t>2017</w:t>
      </w:r>
      <w:r>
        <w:rPr>
          <w:rFonts w:ascii="仿宋" w:eastAsia="仿宋" w:hAnsi="仿宋" w:cs="仿宋" w:hint="eastAsia"/>
          <w:kern w:val="0"/>
          <w:sz w:val="32"/>
          <w:szCs w:val="32"/>
        </w:rPr>
        <w:t>年部门决算公开如下：</w:t>
      </w:r>
    </w:p>
    <w:p w:rsidR="00AE524C" w:rsidRDefault="00AE524C">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AE524C" w:rsidRDefault="00AE524C" w:rsidP="00EE0627">
      <w:pPr>
        <w:ind w:firstLineChars="200" w:firstLine="31680"/>
        <w:rPr>
          <w:rFonts w:ascii="楷体" w:eastAsia="楷体" w:hAnsi="楷体" w:cs="Times New Roman"/>
          <w:b/>
          <w:bCs/>
          <w:sz w:val="32"/>
          <w:szCs w:val="32"/>
        </w:rPr>
      </w:pPr>
      <w:r>
        <w:rPr>
          <w:rFonts w:ascii="楷体" w:eastAsia="楷体" w:hAnsi="楷体" w:cs="楷体" w:hint="eastAsia"/>
          <w:b/>
          <w:bCs/>
          <w:sz w:val="32"/>
          <w:szCs w:val="32"/>
        </w:rPr>
        <w:t>部门职责：</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一）贯彻实施国家有关国土资源管理法律、行政法规，承担保护与合理利用全市土地资源、矿产资源等自然资源的责任。组织拟订国土资源发展规划，开展国土资源经济形式分析，研究提出国土资源供需总量平衡的政策建议，参与宏观经济运行、区域协调、城乡统筹的研究，并拟订涉及国土资源的调控政策和措施。编制并组织实施国土规划，组织实施国土资源领域资源节约集约利用和循环经济的政策措施。</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二）承担规范全市国土资源管理秩序的责任。贯彻执行国土资源法律法规，制定有关适宜本地区可持续发展的地方性政策并监督实施。指导乡（镇）国土资源行政执法工作，调查处理区域内国土资源重大违法案件。</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三）承担优化配置全市国土资源的责任。编制和组织实施土地利用总体规划、土地利用年度计划、土地整理复垦开发规划和其他专项规划、计划。参与审核报省、市政府审批的城市总体规划。指导和审核乡（镇）土地利用总体规划，组织编制矿产资源、地质勘查和地质环境等规划以及地质灾害防治、矿产环境保护等有关专项规划并监督检查执行情况。参与审核报省、市政府审批的涉及土地、矿产的相关规划。</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四）负责规范全市国土资源权属管理。依法保护土地资源、矿产资源等自然资源所有者和使用者的合法权益，组织调处重大权属纠纷，依法进行土地确权，承担各类土地登记资料的收集、整理、共享和汇交管理，提供社会查询服务。</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五）承担全市耕地保护的责任。贯彻和落实国家和省的耕地保护政策，贯彻落实基本农田保护制度及占用耕地补偿制度。监督并指导未利用土地开发、土地整理、土地复垦和耕地开发工作。组织实施土地用途管制、农用地转用和土地征收，承担报省、市政府审批的各类用地的审核、报批工作。</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（六）承担提供全市土地利用各种数据的责任。组织实施国家和省的地籍管理办法，组织土地资源调查、地籍调查、土地统计和动态监测，依法开展地籍调查、登记和土地分等定级工作。</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七）承担节约集约利用全市土地资源的责任。管理和监督城乡建设用地供应、政府土地储备、土地开发和节约集约利用。拟订并按规定组织实施土地使用权出让、租赁、作价出资、转让等地方性管理办法。建立基准地价、标定地价等政府公示地价制度，规范农村集体建设用地使用权的流转。执行国家禁止和限制供地、划拨用地目录等，承担报省、市政府审批的改制企业的国有土地资产方案的审核工作。</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八）承担规范全市国土资源市场秩序的责任。监测土地市场和建设用地利用情况，监管地价，规范和监督矿业权市场，对矿业权人勘查、开采活动进行监督管理，规范和监管国土资源相关社会中介组织，依法查处违法行为。</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（九）负责全市矿产资源开发的管理。依法管理矿产权的审批登记发证和出让、转让审批登记，组织编制实施矿产权设置方案。</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（十）承担全市地质灾害预防、治理的责任。指导应急处置，组织、协调、指导和监督地质灾害防治工作，拟订并组织实施地质灾害等国土资源突发事件应急预案。</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十一）依法征收资源收益，规范、监督资金使用，拟订市土地、矿产资源参与经济调控的政策措施。依法组织土地、矿产资源专项收入的征管，配合有关部门拟订收益分配制度，配合有关部门指导、监督土地整理复垦开发资金的收取和使用。参与管理土地、矿产等资源性资产。负责有关资金、基金的预算和财务、资产管理与监督。</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（十二）负责全市测绘行业、测绘市场、测绘技术管理。</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（十三）组织制定全市国土资源科技发展和人才培养规划、计划，推进国土资源信息化和信息资料的公共服务。开展对外合作与交流，管理国土资源分局领导班子和干部。</w:t>
      </w:r>
    </w:p>
    <w:p w:rsidR="00AE524C" w:rsidRDefault="00AE524C" w:rsidP="00EE0627">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31680"/>
        <w:rPr>
          <w:rFonts w:ascii="仿宋" w:eastAsia="仿宋" w:hAnsi="仿宋" w:cs="Times New Roman"/>
          <w:sz w:val="32"/>
          <w:szCs w:val="32"/>
          <w:lang w:eastAsia="zh-CN"/>
        </w:rPr>
      </w:pPr>
      <w:r>
        <w:rPr>
          <w:rFonts w:ascii="仿宋" w:eastAsia="仿宋" w:hAnsi="仿宋" w:cs="仿宋" w:hint="eastAsia"/>
          <w:sz w:val="32"/>
          <w:szCs w:val="32"/>
          <w:lang w:eastAsia="zh-CN"/>
        </w:rPr>
        <w:t>（十四）承办市政府交办的其他事项。</w:t>
      </w:r>
    </w:p>
    <w:p w:rsidR="00AE524C" w:rsidRDefault="00AE524C" w:rsidP="00EE0627">
      <w:pPr>
        <w:tabs>
          <w:tab w:val="left" w:pos="4935"/>
        </w:tabs>
        <w:ind w:firstLineChars="196" w:firstLine="31680"/>
        <w:outlineLvl w:val="0"/>
        <w:rPr>
          <w:rFonts w:ascii="楷体" w:eastAsia="楷体" w:hAnsi="楷体" w:cs="Times New Roman"/>
          <w:b/>
          <w:bCs/>
          <w:sz w:val="32"/>
          <w:szCs w:val="32"/>
        </w:rPr>
      </w:pPr>
    </w:p>
    <w:p w:rsidR="00AE524C" w:rsidRDefault="00AE524C" w:rsidP="00EE0627">
      <w:pPr>
        <w:ind w:firstLineChars="196" w:firstLine="31680"/>
        <w:outlineLvl w:val="0"/>
        <w:rPr>
          <w:rFonts w:ascii="Times New Roman" w:eastAsia="方正小标宋_GBK" w:hAnsi="Times New Roman" w:cs="Times New Roman"/>
          <w:sz w:val="32"/>
          <w:szCs w:val="32"/>
        </w:rPr>
      </w:pPr>
      <w:r>
        <w:rPr>
          <w:rFonts w:ascii="楷体" w:eastAsia="楷体" w:hAnsi="楷体" w:cs="楷体" w:hint="eastAsia"/>
          <w:b/>
          <w:bCs/>
          <w:sz w:val="32"/>
          <w:szCs w:val="32"/>
        </w:rPr>
        <w:t>机构设置：</w:t>
      </w:r>
      <w:r>
        <w:rPr>
          <w:rFonts w:ascii="Times New Roman" w:eastAsia="方正小标宋_GBK" w:hAnsi="Times New Roman" w:cs="方正小标宋_GBK" w:hint="eastAsia"/>
          <w:sz w:val="32"/>
          <w:szCs w:val="32"/>
        </w:rPr>
        <w:t>部门机构设置情况</w:t>
      </w:r>
    </w:p>
    <w:p w:rsidR="00AE524C" w:rsidRDefault="00AE524C" w:rsidP="00EE0627">
      <w:pPr>
        <w:autoSpaceDE w:val="0"/>
        <w:autoSpaceDN w:val="0"/>
        <w:adjustRightInd w:val="0"/>
        <w:ind w:firstLineChars="200" w:firstLine="31680"/>
        <w:jc w:val="left"/>
        <w:rPr>
          <w:rFonts w:ascii="楷体_GB2312" w:eastAsia="楷体_GB2312" w:hAnsi="Times New Roman" w:cs="Times New Roman"/>
          <w:b/>
          <w:bCs/>
          <w:sz w:val="32"/>
          <w:szCs w:val="32"/>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2265"/>
        <w:gridCol w:w="2265"/>
        <w:gridCol w:w="2266"/>
      </w:tblGrid>
      <w:tr w:rsidR="00AE524C">
        <w:trPr>
          <w:jc w:val="center"/>
        </w:trPr>
        <w:tc>
          <w:tcPr>
            <w:tcW w:w="2265" w:type="dxa"/>
            <w:vAlign w:val="center"/>
          </w:tcPr>
          <w:p w:rsidR="00AE524C" w:rsidRDefault="00AE524C">
            <w:pPr>
              <w:spacing w:line="300" w:lineRule="exact"/>
              <w:jc w:val="center"/>
              <w:rPr>
                <w:rFonts w:ascii="方正书宋_GBK" w:eastAsia="方正书宋_GBK" w:hAnsi="Times New Roman" w:cs="Times New Roman"/>
                <w:b/>
                <w:bCs/>
              </w:rPr>
            </w:pPr>
            <w:r>
              <w:rPr>
                <w:rFonts w:ascii="方正书宋_GBK" w:eastAsia="方正书宋_GBK" w:hAnsi="Times New Roman" w:cs="方正书宋_GBK" w:hint="eastAsia"/>
                <w:b/>
                <w:bCs/>
              </w:rPr>
              <w:t>单位名称</w:t>
            </w:r>
          </w:p>
        </w:tc>
        <w:tc>
          <w:tcPr>
            <w:tcW w:w="2265" w:type="dxa"/>
            <w:vAlign w:val="center"/>
          </w:tcPr>
          <w:p w:rsidR="00AE524C" w:rsidRDefault="00AE524C">
            <w:pPr>
              <w:spacing w:line="300" w:lineRule="exact"/>
              <w:jc w:val="center"/>
              <w:rPr>
                <w:rFonts w:ascii="方正书宋_GBK" w:eastAsia="方正书宋_GBK" w:hAnsi="Times New Roman" w:cs="Times New Roman"/>
                <w:b/>
                <w:bCs/>
              </w:rPr>
            </w:pPr>
            <w:r>
              <w:rPr>
                <w:rFonts w:ascii="方正书宋_GBK" w:eastAsia="方正书宋_GBK" w:hAnsi="Times New Roman" w:cs="方正书宋_GBK" w:hint="eastAsia"/>
                <w:b/>
                <w:bCs/>
              </w:rPr>
              <w:t>单位性质</w:t>
            </w:r>
          </w:p>
        </w:tc>
        <w:tc>
          <w:tcPr>
            <w:tcW w:w="2265" w:type="dxa"/>
            <w:vAlign w:val="center"/>
          </w:tcPr>
          <w:p w:rsidR="00AE524C" w:rsidRDefault="00AE524C">
            <w:pPr>
              <w:spacing w:line="300" w:lineRule="exact"/>
              <w:jc w:val="center"/>
              <w:rPr>
                <w:rFonts w:ascii="方正书宋_GBK" w:eastAsia="方正书宋_GBK" w:hAnsi="Times New Roman" w:cs="Times New Roman"/>
                <w:b/>
                <w:bCs/>
              </w:rPr>
            </w:pPr>
            <w:r>
              <w:rPr>
                <w:rFonts w:ascii="方正书宋_GBK" w:eastAsia="方正书宋_GBK" w:hAnsi="Times New Roman" w:cs="方正书宋_GBK" w:hint="eastAsia"/>
                <w:b/>
                <w:bCs/>
              </w:rPr>
              <w:t>单位规格</w:t>
            </w:r>
          </w:p>
        </w:tc>
        <w:tc>
          <w:tcPr>
            <w:tcW w:w="2266" w:type="dxa"/>
            <w:vAlign w:val="center"/>
          </w:tcPr>
          <w:p w:rsidR="00AE524C" w:rsidRDefault="00AE524C">
            <w:pPr>
              <w:spacing w:line="300" w:lineRule="exact"/>
              <w:jc w:val="center"/>
              <w:rPr>
                <w:rFonts w:ascii="方正书宋_GBK" w:eastAsia="方正书宋_GBK" w:hAnsi="Times New Roman" w:cs="Times New Roman"/>
                <w:b/>
                <w:bCs/>
              </w:rPr>
            </w:pPr>
            <w:r>
              <w:rPr>
                <w:rFonts w:ascii="方正书宋_GBK" w:eastAsia="方正书宋_GBK" w:hAnsi="Times New Roman" w:cs="方正书宋_GBK" w:hint="eastAsia"/>
                <w:b/>
                <w:bCs/>
              </w:rPr>
              <w:t>经费保障形式</w:t>
            </w:r>
          </w:p>
        </w:tc>
      </w:tr>
      <w:tr w:rsidR="00AE524C">
        <w:trPr>
          <w:jc w:val="center"/>
        </w:trPr>
        <w:tc>
          <w:tcPr>
            <w:tcW w:w="2265" w:type="dxa"/>
            <w:vAlign w:val="center"/>
          </w:tcPr>
          <w:p w:rsidR="00AE524C" w:rsidRDefault="00AE524C">
            <w:pPr>
              <w:spacing w:line="300" w:lineRule="exact"/>
              <w:jc w:val="center"/>
              <w:rPr>
                <w:rFonts w:ascii="方正书宋_GBK" w:eastAsia="方正书宋_GBK" w:hAnsi="Times New Roman" w:cs="Times New Roman"/>
              </w:rPr>
            </w:pPr>
            <w:r>
              <w:rPr>
                <w:rFonts w:ascii="方正书宋_GBK" w:eastAsia="方正书宋_GBK" w:hAnsi="Times New Roman" w:cs="方正书宋_GBK" w:hint="eastAsia"/>
              </w:rPr>
              <w:t>霸州市国土资源局</w:t>
            </w:r>
          </w:p>
        </w:tc>
        <w:tc>
          <w:tcPr>
            <w:tcW w:w="2265" w:type="dxa"/>
            <w:vAlign w:val="center"/>
          </w:tcPr>
          <w:p w:rsidR="00AE524C" w:rsidRDefault="00AE524C">
            <w:pPr>
              <w:spacing w:line="300" w:lineRule="exact"/>
              <w:jc w:val="center"/>
              <w:rPr>
                <w:rFonts w:ascii="方正书宋_GBK" w:eastAsia="方正书宋_GBK" w:hAnsi="Times New Roman" w:cs="Times New Roman"/>
              </w:rPr>
            </w:pPr>
            <w:r>
              <w:rPr>
                <w:rFonts w:ascii="方正书宋_GBK" w:eastAsia="方正书宋_GBK" w:hAnsi="Times New Roman" w:cs="方正书宋_GBK" w:hint="eastAsia"/>
              </w:rPr>
              <w:t>行政</w:t>
            </w:r>
          </w:p>
        </w:tc>
        <w:tc>
          <w:tcPr>
            <w:tcW w:w="2265" w:type="dxa"/>
            <w:vAlign w:val="center"/>
          </w:tcPr>
          <w:p w:rsidR="00AE524C" w:rsidRDefault="00AE524C">
            <w:pPr>
              <w:spacing w:line="300" w:lineRule="exact"/>
              <w:jc w:val="center"/>
              <w:rPr>
                <w:rFonts w:ascii="方正书宋_GBK" w:eastAsia="方正书宋_GBK" w:hAnsi="Times New Roman" w:cs="Times New Roman"/>
              </w:rPr>
            </w:pPr>
            <w:r>
              <w:rPr>
                <w:rFonts w:ascii="方正书宋_GBK" w:eastAsia="方正书宋_GBK" w:hAnsi="Times New Roman" w:cs="方正书宋_GBK" w:hint="eastAsia"/>
              </w:rPr>
              <w:t>正科级</w:t>
            </w:r>
          </w:p>
        </w:tc>
        <w:tc>
          <w:tcPr>
            <w:tcW w:w="2266" w:type="dxa"/>
            <w:vAlign w:val="center"/>
          </w:tcPr>
          <w:p w:rsidR="00AE524C" w:rsidRDefault="00AE524C">
            <w:pPr>
              <w:spacing w:line="300" w:lineRule="exact"/>
              <w:jc w:val="center"/>
              <w:rPr>
                <w:rFonts w:ascii="方正书宋_GBK" w:eastAsia="方正书宋_GBK" w:hAnsi="Times New Roman" w:cs="Times New Roman"/>
              </w:rPr>
            </w:pPr>
            <w:r>
              <w:rPr>
                <w:rFonts w:ascii="方正书宋_GBK" w:eastAsia="方正书宋_GBK" w:hAnsi="Times New Roman" w:cs="方正书宋_GBK" w:hint="eastAsia"/>
              </w:rPr>
              <w:t>财政拨款</w:t>
            </w:r>
          </w:p>
        </w:tc>
      </w:tr>
    </w:tbl>
    <w:p w:rsidR="00AE524C" w:rsidRDefault="00AE524C" w:rsidP="00AE524C">
      <w:pPr>
        <w:autoSpaceDE w:val="0"/>
        <w:autoSpaceDN w:val="0"/>
        <w:adjustRightInd w:val="0"/>
        <w:ind w:firstLineChars="450" w:firstLine="31680"/>
        <w:jc w:val="left"/>
        <w:rPr>
          <w:rFonts w:ascii="方正仿宋_GBK" w:eastAsia="方正仿宋_GBK" w:hAnsi="Times New Roman" w:cs="Times New Roman"/>
          <w:b/>
          <w:bCs/>
          <w:sz w:val="32"/>
          <w:szCs w:val="32"/>
        </w:rPr>
      </w:pPr>
      <w:r>
        <w:rPr>
          <w:rFonts w:ascii="仿宋" w:eastAsia="仿宋" w:hAnsi="仿宋" w:cs="仿宋" w:hint="eastAsia"/>
          <w:sz w:val="32"/>
          <w:szCs w:val="32"/>
        </w:rPr>
        <w:t>我单位为</w:t>
      </w:r>
      <w:r>
        <w:rPr>
          <w:rFonts w:ascii="仿宋" w:eastAsia="仿宋" w:hAnsi="仿宋" w:cs="仿宋"/>
          <w:sz w:val="32"/>
          <w:szCs w:val="32"/>
        </w:rPr>
        <w:t>1</w:t>
      </w:r>
      <w:r>
        <w:rPr>
          <w:rFonts w:ascii="仿宋" w:eastAsia="仿宋" w:hAnsi="仿宋" w:cs="仿宋" w:hint="eastAsia"/>
          <w:sz w:val="32"/>
          <w:szCs w:val="32"/>
        </w:rPr>
        <w:t>级预算单位，无下属单位，无汇总决算。</w:t>
      </w:r>
    </w:p>
    <w:p w:rsidR="00AE524C" w:rsidRDefault="00AE524C" w:rsidP="00EE0627">
      <w:pPr>
        <w:ind w:firstLineChars="200" w:firstLine="31680"/>
        <w:rPr>
          <w:rFonts w:ascii="黑体" w:eastAsia="黑体" w:hAnsi="黑体" w:cs="Times New Roman"/>
          <w:sz w:val="32"/>
          <w:szCs w:val="32"/>
        </w:rPr>
      </w:pPr>
      <w:r>
        <w:rPr>
          <w:rFonts w:ascii="黑体" w:eastAsia="黑体" w:hAnsi="黑体" w:cs="黑体" w:hint="eastAsia"/>
          <w:sz w:val="32"/>
          <w:szCs w:val="32"/>
        </w:rPr>
        <w:t>二、部门决算报表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（一）收入支出决算总表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（二）收入决算表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（三）支出决算表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（四）财政拨款收入支出决算总表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（五）一般公共预算财政拨款收入支出决算表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（六）一般公共预算财政拨款基本支出决算表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（七）政府性基金预算财政拨款收入支出决算表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（八）国有资本经营预算财政拨款收入支出决算表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（九）“三公”经费及相关信息统计表</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hint="eastAsia"/>
          <w:sz w:val="32"/>
          <w:szCs w:val="32"/>
        </w:rPr>
        <w:t>（十）政府采购情况表</w:t>
      </w:r>
    </w:p>
    <w:p w:rsidR="00AE524C" w:rsidRDefault="00AE524C" w:rsidP="00EE0627">
      <w:pPr>
        <w:widowControl/>
        <w:spacing w:line="360" w:lineRule="auto"/>
        <w:ind w:firstLineChars="200" w:firstLine="31680"/>
        <w:jc w:val="left"/>
        <w:rPr>
          <w:rFonts w:ascii="黑体" w:eastAsia="黑体" w:hAnsi="黑体" w:cs="Times New Roman"/>
          <w:kern w:val="0"/>
          <w:sz w:val="32"/>
          <w:szCs w:val="32"/>
        </w:rPr>
      </w:pPr>
      <w:r>
        <w:rPr>
          <w:rFonts w:ascii="黑体" w:eastAsia="黑体" w:hAnsi="黑体" w:cs="黑体" w:hint="eastAsia"/>
          <w:kern w:val="0"/>
          <w:sz w:val="32"/>
          <w:szCs w:val="32"/>
        </w:rPr>
        <w:t>三、</w:t>
      </w:r>
      <w:r>
        <w:rPr>
          <w:rFonts w:ascii="黑体" w:eastAsia="黑体" w:hAnsi="黑体" w:cs="黑体"/>
          <w:kern w:val="0"/>
          <w:sz w:val="32"/>
          <w:szCs w:val="32"/>
        </w:rPr>
        <w:t>2017</w:t>
      </w:r>
      <w:r>
        <w:rPr>
          <w:rFonts w:ascii="黑体" w:eastAsia="黑体" w:hAnsi="黑体" w:cs="黑体" w:hint="eastAsia"/>
          <w:kern w:val="0"/>
          <w:sz w:val="32"/>
          <w:szCs w:val="32"/>
        </w:rPr>
        <w:t>年度部门决算情况说明</w:t>
      </w:r>
    </w:p>
    <w:p w:rsidR="00AE524C" w:rsidRDefault="00AE524C">
      <w:pPr>
        <w:snapToGrid w:val="0"/>
        <w:ind w:firstLine="643"/>
        <w:rPr>
          <w:rFonts w:ascii="楷体" w:eastAsia="楷体" w:hAnsi="楷体" w:cs="Times New Roman"/>
          <w:b/>
          <w:bCs/>
          <w:sz w:val="32"/>
          <w:szCs w:val="32"/>
        </w:rPr>
      </w:pPr>
      <w:r>
        <w:rPr>
          <w:rFonts w:ascii="楷体" w:eastAsia="楷体" w:hAnsi="楷体" w:cs="楷体" w:hint="eastAsia"/>
          <w:b/>
          <w:bCs/>
          <w:sz w:val="32"/>
          <w:szCs w:val="32"/>
        </w:rPr>
        <w:t>（一）收入支出决算总体情况说明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反映本部门综合收支情况。</w:t>
      </w:r>
      <w:r>
        <w:rPr>
          <w:rFonts w:ascii="仿宋" w:eastAsia="仿宋" w:hAnsi="仿宋" w:cs="仿宋"/>
          <w:sz w:val="32"/>
          <w:szCs w:val="32"/>
        </w:rPr>
        <w:t>2017</w:t>
      </w:r>
      <w:r>
        <w:rPr>
          <w:rFonts w:ascii="仿宋" w:eastAsia="仿宋" w:hAnsi="仿宋" w:cs="仿宋" w:hint="eastAsia"/>
          <w:sz w:val="32"/>
          <w:szCs w:val="32"/>
        </w:rPr>
        <w:t>年决算总收入</w:t>
      </w:r>
      <w:r>
        <w:rPr>
          <w:rFonts w:ascii="仿宋" w:eastAsia="仿宋" w:hAnsi="仿宋" w:cs="仿宋"/>
          <w:sz w:val="32"/>
          <w:szCs w:val="32"/>
        </w:rPr>
        <w:t>123670.75</w:t>
      </w:r>
      <w:r>
        <w:rPr>
          <w:rFonts w:ascii="仿宋" w:eastAsia="仿宋" w:hAnsi="仿宋" w:cs="仿宋" w:hint="eastAsia"/>
          <w:sz w:val="32"/>
          <w:szCs w:val="32"/>
        </w:rPr>
        <w:t>万元，</w:t>
      </w:r>
      <w:r>
        <w:rPr>
          <w:rFonts w:ascii="仿宋" w:eastAsia="仿宋" w:hAnsi="仿宋" w:cs="仿宋"/>
          <w:sz w:val="32"/>
          <w:szCs w:val="32"/>
        </w:rPr>
        <w:t>2016</w:t>
      </w:r>
      <w:r>
        <w:rPr>
          <w:rFonts w:ascii="仿宋" w:eastAsia="仿宋" w:hAnsi="仿宋" w:cs="仿宋" w:hint="eastAsia"/>
          <w:sz w:val="32"/>
          <w:szCs w:val="32"/>
        </w:rPr>
        <w:t>年决算总收入</w:t>
      </w:r>
      <w:r>
        <w:rPr>
          <w:rFonts w:ascii="仿宋" w:eastAsia="仿宋" w:hAnsi="仿宋" w:cs="仿宋"/>
          <w:sz w:val="32"/>
          <w:szCs w:val="32"/>
        </w:rPr>
        <w:t>72478.84</w:t>
      </w:r>
      <w:r>
        <w:rPr>
          <w:rFonts w:ascii="仿宋" w:eastAsia="仿宋" w:hAnsi="仿宋" w:cs="仿宋" w:hint="eastAsia"/>
          <w:sz w:val="32"/>
          <w:szCs w:val="32"/>
        </w:rPr>
        <w:t>万元，比去年增加了</w:t>
      </w:r>
      <w:r>
        <w:rPr>
          <w:rFonts w:ascii="仿宋" w:eastAsia="仿宋" w:hAnsi="仿宋" w:cs="仿宋"/>
          <w:sz w:val="32"/>
          <w:szCs w:val="32"/>
        </w:rPr>
        <w:t>51191.91</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增长</w:t>
      </w:r>
      <w:r>
        <w:rPr>
          <w:rFonts w:ascii="仿宋" w:eastAsia="仿宋" w:hAnsi="仿宋" w:cs="仿宋"/>
          <w:sz w:val="32"/>
          <w:szCs w:val="32"/>
        </w:rPr>
        <w:t>70.63%</w:t>
      </w:r>
      <w:r>
        <w:rPr>
          <w:rFonts w:ascii="仿宋" w:eastAsia="仿宋" w:hAnsi="仿宋" w:cs="仿宋" w:hint="eastAsia"/>
          <w:sz w:val="32"/>
          <w:szCs w:val="32"/>
        </w:rPr>
        <w:t>，主要原因是异地购买补充耕地占补平衡指标增加，收储土地数量增加；</w:t>
      </w:r>
      <w:r>
        <w:rPr>
          <w:rFonts w:ascii="仿宋" w:eastAsia="仿宋" w:hAnsi="仿宋" w:cs="仿宋"/>
          <w:sz w:val="32"/>
          <w:szCs w:val="32"/>
        </w:rPr>
        <w:t>2017</w:t>
      </w:r>
      <w:r>
        <w:rPr>
          <w:rFonts w:ascii="仿宋" w:eastAsia="仿宋" w:hAnsi="仿宋" w:cs="仿宋" w:hint="eastAsia"/>
          <w:sz w:val="32"/>
          <w:szCs w:val="32"/>
        </w:rPr>
        <w:t>年决算总支出</w:t>
      </w:r>
      <w:r>
        <w:rPr>
          <w:rFonts w:ascii="仿宋" w:eastAsia="仿宋" w:hAnsi="仿宋" w:cs="仿宋"/>
          <w:sz w:val="32"/>
          <w:szCs w:val="32"/>
        </w:rPr>
        <w:t>117887.32</w:t>
      </w:r>
      <w:r>
        <w:rPr>
          <w:rFonts w:ascii="仿宋" w:eastAsia="仿宋" w:hAnsi="仿宋" w:cs="仿宋" w:hint="eastAsia"/>
          <w:sz w:val="32"/>
          <w:szCs w:val="32"/>
        </w:rPr>
        <w:t>万元，</w:t>
      </w:r>
      <w:r>
        <w:rPr>
          <w:rFonts w:ascii="仿宋" w:eastAsia="仿宋" w:hAnsi="仿宋" w:cs="仿宋"/>
          <w:sz w:val="32"/>
          <w:szCs w:val="32"/>
        </w:rPr>
        <w:t>2016</w:t>
      </w:r>
      <w:r>
        <w:rPr>
          <w:rFonts w:ascii="仿宋" w:eastAsia="仿宋" w:hAnsi="仿宋" w:cs="仿宋" w:hint="eastAsia"/>
          <w:sz w:val="32"/>
          <w:szCs w:val="32"/>
        </w:rPr>
        <w:t>年决算总支出</w:t>
      </w:r>
      <w:r>
        <w:rPr>
          <w:rFonts w:ascii="仿宋" w:eastAsia="仿宋" w:hAnsi="仿宋" w:cs="仿宋"/>
          <w:sz w:val="32"/>
          <w:szCs w:val="32"/>
        </w:rPr>
        <w:t>84258.74</w:t>
      </w:r>
      <w:r>
        <w:rPr>
          <w:rFonts w:ascii="仿宋" w:eastAsia="仿宋" w:hAnsi="仿宋" w:cs="仿宋" w:hint="eastAsia"/>
          <w:sz w:val="32"/>
          <w:szCs w:val="32"/>
        </w:rPr>
        <w:t>万元，比去年增加了</w:t>
      </w:r>
      <w:r>
        <w:rPr>
          <w:rFonts w:ascii="仿宋" w:eastAsia="仿宋" w:hAnsi="仿宋" w:cs="仿宋"/>
          <w:sz w:val="32"/>
          <w:szCs w:val="32"/>
        </w:rPr>
        <w:t>33628.58</w:t>
      </w:r>
      <w:r>
        <w:rPr>
          <w:rFonts w:ascii="仿宋" w:eastAsia="仿宋" w:hAnsi="仿宋" w:cs="仿宋" w:hint="eastAsia"/>
          <w:sz w:val="32"/>
          <w:szCs w:val="32"/>
        </w:rPr>
        <w:t>万元，增长</w:t>
      </w:r>
      <w:r>
        <w:rPr>
          <w:rFonts w:ascii="仿宋" w:eastAsia="仿宋" w:hAnsi="仿宋" w:cs="仿宋"/>
          <w:sz w:val="32"/>
          <w:szCs w:val="32"/>
        </w:rPr>
        <w:t>39.91%</w:t>
      </w:r>
      <w:r>
        <w:rPr>
          <w:rFonts w:ascii="仿宋" w:eastAsia="仿宋" w:hAnsi="仿宋" w:cs="仿宋" w:hint="eastAsia"/>
          <w:sz w:val="32"/>
          <w:szCs w:val="32"/>
        </w:rPr>
        <w:t>，主要原因是异地购买补充耕地占补平衡指标增加。</w:t>
      </w:r>
    </w:p>
    <w:p w:rsidR="00AE524C" w:rsidRDefault="00AE524C">
      <w:pPr>
        <w:snapToGrid w:val="0"/>
        <w:ind w:firstLine="643"/>
        <w:rPr>
          <w:rFonts w:ascii="楷体" w:eastAsia="楷体" w:hAnsi="楷体" w:cs="Times New Roman"/>
          <w:b/>
          <w:bCs/>
          <w:sz w:val="32"/>
          <w:szCs w:val="32"/>
        </w:rPr>
      </w:pPr>
      <w:r>
        <w:rPr>
          <w:rFonts w:ascii="楷体" w:eastAsia="楷体" w:hAnsi="楷体" w:cs="楷体" w:hint="eastAsia"/>
          <w:b/>
          <w:bCs/>
          <w:sz w:val="32"/>
          <w:szCs w:val="32"/>
        </w:rPr>
        <w:t>（二）收入决算情况说明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反映本部门当年总体收入情况。</w:t>
      </w:r>
      <w:r>
        <w:rPr>
          <w:rFonts w:ascii="仿宋" w:eastAsia="仿宋" w:hAnsi="仿宋" w:cs="仿宋"/>
          <w:sz w:val="32"/>
          <w:szCs w:val="32"/>
        </w:rPr>
        <w:t>2017</w:t>
      </w:r>
      <w:r>
        <w:rPr>
          <w:rFonts w:ascii="仿宋" w:eastAsia="仿宋" w:hAnsi="仿宋" w:cs="仿宋" w:hint="eastAsia"/>
          <w:sz w:val="32"/>
          <w:szCs w:val="32"/>
        </w:rPr>
        <w:t>年决算收入</w:t>
      </w:r>
      <w:r>
        <w:rPr>
          <w:rFonts w:ascii="仿宋" w:eastAsia="仿宋" w:hAnsi="仿宋" w:cs="仿宋"/>
          <w:sz w:val="32"/>
          <w:szCs w:val="32"/>
        </w:rPr>
        <w:t>123670.75</w:t>
      </w:r>
      <w:r>
        <w:rPr>
          <w:rFonts w:ascii="仿宋" w:eastAsia="仿宋" w:hAnsi="仿宋" w:cs="仿宋" w:hint="eastAsia"/>
          <w:sz w:val="32"/>
          <w:szCs w:val="32"/>
        </w:rPr>
        <w:t>万元，其中：一般公共预算收入</w:t>
      </w:r>
      <w:r>
        <w:rPr>
          <w:rFonts w:ascii="仿宋" w:eastAsia="仿宋" w:hAnsi="仿宋" w:cs="仿宋"/>
          <w:sz w:val="32"/>
          <w:szCs w:val="32"/>
        </w:rPr>
        <w:t>7635.54</w:t>
      </w:r>
      <w:r>
        <w:rPr>
          <w:rFonts w:ascii="仿宋" w:eastAsia="仿宋" w:hAnsi="仿宋" w:cs="仿宋" w:hint="eastAsia"/>
          <w:sz w:val="32"/>
          <w:szCs w:val="32"/>
        </w:rPr>
        <w:t>万元，占比</w:t>
      </w:r>
      <w:r>
        <w:rPr>
          <w:rFonts w:ascii="仿宋" w:eastAsia="仿宋" w:hAnsi="仿宋" w:cs="仿宋"/>
          <w:sz w:val="32"/>
          <w:szCs w:val="32"/>
        </w:rPr>
        <w:t>6.17%</w:t>
      </w:r>
      <w:r>
        <w:rPr>
          <w:rFonts w:ascii="仿宋" w:eastAsia="仿宋" w:hAnsi="仿宋" w:cs="仿宋" w:hint="eastAsia"/>
          <w:sz w:val="32"/>
          <w:szCs w:val="32"/>
        </w:rPr>
        <w:t>，政府性基金预算收入</w:t>
      </w:r>
      <w:r>
        <w:rPr>
          <w:rFonts w:ascii="仿宋" w:eastAsia="仿宋" w:hAnsi="仿宋" w:cs="仿宋"/>
          <w:sz w:val="32"/>
          <w:szCs w:val="32"/>
        </w:rPr>
        <w:t>116035.2</w:t>
      </w:r>
      <w:r>
        <w:rPr>
          <w:rFonts w:ascii="仿宋" w:eastAsia="仿宋" w:hAnsi="仿宋" w:cs="仿宋" w:hint="eastAsia"/>
          <w:sz w:val="32"/>
          <w:szCs w:val="32"/>
        </w:rPr>
        <w:t>万元，占比</w:t>
      </w:r>
      <w:r>
        <w:rPr>
          <w:rFonts w:ascii="仿宋" w:eastAsia="仿宋" w:hAnsi="仿宋" w:cs="仿宋"/>
          <w:sz w:val="32"/>
          <w:szCs w:val="32"/>
        </w:rPr>
        <w:t>93.83%</w:t>
      </w:r>
      <w:r>
        <w:rPr>
          <w:rFonts w:ascii="仿宋" w:eastAsia="仿宋" w:hAnsi="仿宋" w:cs="仿宋" w:hint="eastAsia"/>
          <w:sz w:val="32"/>
          <w:szCs w:val="32"/>
        </w:rPr>
        <w:t>。</w:t>
      </w:r>
    </w:p>
    <w:p w:rsidR="00AE524C" w:rsidRDefault="00AE524C">
      <w:pPr>
        <w:snapToGrid w:val="0"/>
        <w:ind w:firstLine="643"/>
        <w:rPr>
          <w:rFonts w:ascii="楷体" w:eastAsia="楷体" w:hAnsi="楷体" w:cs="Times New Roman"/>
          <w:b/>
          <w:bCs/>
          <w:sz w:val="32"/>
          <w:szCs w:val="32"/>
        </w:rPr>
      </w:pPr>
      <w:r>
        <w:rPr>
          <w:rFonts w:ascii="楷体" w:eastAsia="楷体" w:hAnsi="楷体" w:cs="楷体" w:hint="eastAsia"/>
          <w:b/>
          <w:bCs/>
          <w:sz w:val="32"/>
          <w:szCs w:val="32"/>
        </w:rPr>
        <w:t>（三）支出决算情况说明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反映本部门当年总体支出情况。</w:t>
      </w:r>
      <w:r>
        <w:rPr>
          <w:rFonts w:ascii="仿宋" w:eastAsia="仿宋" w:hAnsi="仿宋" w:cs="仿宋"/>
          <w:sz w:val="32"/>
          <w:szCs w:val="32"/>
        </w:rPr>
        <w:t>2017</w:t>
      </w:r>
      <w:r>
        <w:rPr>
          <w:rFonts w:ascii="仿宋" w:eastAsia="仿宋" w:hAnsi="仿宋" w:cs="仿宋" w:hint="eastAsia"/>
          <w:sz w:val="32"/>
          <w:szCs w:val="32"/>
        </w:rPr>
        <w:t>年决算支出</w:t>
      </w:r>
      <w:r>
        <w:rPr>
          <w:rFonts w:ascii="仿宋" w:eastAsia="仿宋" w:hAnsi="仿宋" w:cs="仿宋"/>
          <w:sz w:val="32"/>
          <w:szCs w:val="32"/>
        </w:rPr>
        <w:t>117887.32</w:t>
      </w:r>
      <w:r>
        <w:rPr>
          <w:rFonts w:ascii="仿宋" w:eastAsia="仿宋" w:hAnsi="仿宋" w:cs="仿宋" w:hint="eastAsia"/>
          <w:sz w:val="32"/>
          <w:szCs w:val="32"/>
        </w:rPr>
        <w:t>万元，其中：基本支出</w:t>
      </w:r>
      <w:r>
        <w:rPr>
          <w:rFonts w:ascii="仿宋" w:eastAsia="仿宋" w:hAnsi="仿宋" w:cs="仿宋"/>
          <w:sz w:val="32"/>
          <w:szCs w:val="32"/>
        </w:rPr>
        <w:t>4841.64</w:t>
      </w:r>
      <w:r>
        <w:rPr>
          <w:rFonts w:ascii="仿宋" w:eastAsia="仿宋" w:hAnsi="仿宋" w:cs="仿宋" w:hint="eastAsia"/>
          <w:sz w:val="32"/>
          <w:szCs w:val="32"/>
        </w:rPr>
        <w:t>万元，占比</w:t>
      </w:r>
      <w:r>
        <w:rPr>
          <w:rFonts w:ascii="仿宋" w:eastAsia="仿宋" w:hAnsi="仿宋" w:cs="仿宋"/>
          <w:sz w:val="32"/>
          <w:szCs w:val="32"/>
        </w:rPr>
        <w:t>4.11%</w:t>
      </w:r>
      <w:r>
        <w:rPr>
          <w:rFonts w:ascii="仿宋" w:eastAsia="仿宋" w:hAnsi="仿宋" w:cs="仿宋" w:hint="eastAsia"/>
          <w:sz w:val="32"/>
          <w:szCs w:val="32"/>
        </w:rPr>
        <w:t>，包含人员经费支出</w:t>
      </w:r>
      <w:r>
        <w:rPr>
          <w:rFonts w:ascii="仿宋" w:eastAsia="仿宋" w:hAnsi="仿宋" w:cs="仿宋"/>
          <w:sz w:val="32"/>
          <w:szCs w:val="32"/>
        </w:rPr>
        <w:t>4187.71</w:t>
      </w:r>
      <w:r>
        <w:rPr>
          <w:rFonts w:ascii="仿宋" w:eastAsia="仿宋" w:hAnsi="仿宋" w:cs="仿宋" w:hint="eastAsia"/>
          <w:sz w:val="32"/>
          <w:szCs w:val="32"/>
        </w:rPr>
        <w:t>万元和日常公用经费支出</w:t>
      </w:r>
      <w:r>
        <w:rPr>
          <w:rFonts w:ascii="仿宋" w:eastAsia="仿宋" w:hAnsi="仿宋" w:cs="仿宋"/>
          <w:sz w:val="32"/>
          <w:szCs w:val="32"/>
        </w:rPr>
        <w:t>653.93</w:t>
      </w:r>
      <w:r>
        <w:rPr>
          <w:rFonts w:ascii="仿宋" w:eastAsia="仿宋" w:hAnsi="仿宋" w:cs="仿宋" w:hint="eastAsia"/>
          <w:sz w:val="32"/>
          <w:szCs w:val="32"/>
        </w:rPr>
        <w:t>万元；项目支出</w:t>
      </w:r>
      <w:r>
        <w:rPr>
          <w:rFonts w:ascii="仿宋" w:eastAsia="仿宋" w:hAnsi="仿宋" w:cs="仿宋"/>
          <w:sz w:val="32"/>
          <w:szCs w:val="32"/>
        </w:rPr>
        <w:t>113045.68</w:t>
      </w:r>
      <w:r>
        <w:rPr>
          <w:rFonts w:ascii="仿宋" w:eastAsia="仿宋" w:hAnsi="仿宋" w:cs="仿宋" w:hint="eastAsia"/>
          <w:sz w:val="32"/>
          <w:szCs w:val="32"/>
        </w:rPr>
        <w:t>万元，占比</w:t>
      </w:r>
      <w:r>
        <w:rPr>
          <w:rFonts w:ascii="仿宋" w:eastAsia="仿宋" w:hAnsi="仿宋" w:cs="仿宋"/>
          <w:sz w:val="32"/>
          <w:szCs w:val="32"/>
        </w:rPr>
        <w:t>95.89%</w:t>
      </w:r>
      <w:r>
        <w:rPr>
          <w:rFonts w:ascii="仿宋" w:eastAsia="仿宋" w:hAnsi="仿宋" w:cs="仿宋" w:hint="eastAsia"/>
          <w:sz w:val="32"/>
          <w:szCs w:val="32"/>
        </w:rPr>
        <w:t>。</w:t>
      </w:r>
    </w:p>
    <w:p w:rsidR="00AE524C" w:rsidRDefault="00AE524C">
      <w:pPr>
        <w:snapToGrid w:val="0"/>
        <w:ind w:firstLine="643"/>
        <w:rPr>
          <w:rFonts w:ascii="楷体" w:eastAsia="楷体" w:hAnsi="楷体" w:cs="Times New Roman"/>
          <w:b/>
          <w:bCs/>
          <w:sz w:val="32"/>
          <w:szCs w:val="32"/>
        </w:rPr>
      </w:pPr>
      <w:r>
        <w:rPr>
          <w:rFonts w:ascii="楷体" w:eastAsia="楷体" w:hAnsi="楷体" w:cs="楷体" w:hint="eastAsia"/>
          <w:b/>
          <w:bCs/>
          <w:sz w:val="32"/>
          <w:szCs w:val="32"/>
        </w:rPr>
        <w:t>（四）财政拨款收入支出决算总体情况说明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反映本部门财政拨款收支情况。</w:t>
      </w:r>
    </w:p>
    <w:p w:rsidR="00AE524C" w:rsidRDefault="00AE524C">
      <w:pPr>
        <w:pStyle w:val="p0"/>
        <w:numPr>
          <w:ilvl w:val="0"/>
          <w:numId w:val="1"/>
        </w:numPr>
        <w:rPr>
          <w:rFonts w:ascii="仿宋" w:eastAsia="仿宋" w:hAnsi="仿宋"/>
          <w:b/>
          <w:bCs/>
          <w:sz w:val="32"/>
          <w:szCs w:val="32"/>
        </w:rPr>
      </w:pPr>
      <w:r>
        <w:rPr>
          <w:rFonts w:ascii="仿宋" w:eastAsia="仿宋" w:hAnsi="仿宋" w:cs="仿宋" w:hint="eastAsia"/>
          <w:b/>
          <w:bCs/>
          <w:sz w:val="32"/>
          <w:szCs w:val="32"/>
        </w:rPr>
        <w:t>财政拨款收支与</w:t>
      </w:r>
      <w:r>
        <w:rPr>
          <w:rFonts w:ascii="仿宋" w:eastAsia="仿宋" w:hAnsi="仿宋" w:cs="仿宋"/>
          <w:b/>
          <w:bCs/>
          <w:sz w:val="32"/>
          <w:szCs w:val="32"/>
        </w:rPr>
        <w:t>2016</w:t>
      </w:r>
      <w:r>
        <w:rPr>
          <w:rFonts w:ascii="仿宋" w:eastAsia="仿宋" w:hAnsi="仿宋" w:cs="仿宋" w:hint="eastAsia"/>
          <w:b/>
          <w:bCs/>
          <w:sz w:val="32"/>
          <w:szCs w:val="32"/>
        </w:rPr>
        <w:t>年度决算对比情况</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霸州市国土资源局</w:t>
      </w:r>
      <w:r>
        <w:rPr>
          <w:rFonts w:ascii="仿宋" w:eastAsia="仿宋" w:hAnsi="仿宋" w:cs="仿宋"/>
          <w:sz w:val="32"/>
          <w:szCs w:val="32"/>
        </w:rPr>
        <w:t>2017</w:t>
      </w:r>
      <w:r>
        <w:rPr>
          <w:rFonts w:ascii="仿宋" w:eastAsia="仿宋" w:hAnsi="仿宋" w:cs="仿宋" w:hint="eastAsia"/>
          <w:sz w:val="32"/>
          <w:szCs w:val="32"/>
        </w:rPr>
        <w:t>年财政拨款收入决算总计</w:t>
      </w:r>
      <w:r>
        <w:rPr>
          <w:rFonts w:ascii="仿宋" w:eastAsia="仿宋" w:hAnsi="仿宋" w:cs="仿宋"/>
          <w:sz w:val="32"/>
          <w:szCs w:val="32"/>
        </w:rPr>
        <w:t>123670.75</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年度决算增加</w:t>
      </w:r>
      <w:r>
        <w:rPr>
          <w:rFonts w:ascii="仿宋" w:eastAsia="仿宋" w:hAnsi="仿宋" w:cs="仿宋"/>
          <w:sz w:val="32"/>
          <w:szCs w:val="32"/>
        </w:rPr>
        <w:t>51191.91</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增长</w:t>
      </w:r>
      <w:r>
        <w:rPr>
          <w:rFonts w:ascii="仿宋" w:eastAsia="仿宋" w:hAnsi="仿宋" w:cs="仿宋"/>
          <w:sz w:val="32"/>
          <w:szCs w:val="32"/>
        </w:rPr>
        <w:t>70.63%</w:t>
      </w:r>
      <w:r>
        <w:rPr>
          <w:rFonts w:ascii="仿宋" w:eastAsia="仿宋" w:hAnsi="仿宋" w:cs="仿宋" w:hint="eastAsia"/>
          <w:sz w:val="32"/>
          <w:szCs w:val="32"/>
        </w:rPr>
        <w:t>，主要原因是异地购买补充耕地占补平衡指标增加，收储土地数量增加。其中，一般公共预算拨款增加</w:t>
      </w:r>
      <w:r>
        <w:rPr>
          <w:rFonts w:ascii="仿宋" w:eastAsia="仿宋" w:hAnsi="仿宋" w:cs="仿宋"/>
          <w:sz w:val="32"/>
          <w:szCs w:val="32"/>
        </w:rPr>
        <w:t>4245.95</w:t>
      </w:r>
      <w:r>
        <w:rPr>
          <w:rFonts w:ascii="仿宋" w:eastAsia="仿宋" w:hAnsi="仿宋" w:cs="仿宋" w:hint="eastAsia"/>
          <w:sz w:val="32"/>
          <w:szCs w:val="32"/>
        </w:rPr>
        <w:t>万元，政府性基金预算财政拨款增加</w:t>
      </w:r>
      <w:r>
        <w:rPr>
          <w:rFonts w:ascii="仿宋" w:eastAsia="仿宋" w:hAnsi="仿宋" w:cs="仿宋"/>
          <w:sz w:val="32"/>
          <w:szCs w:val="32"/>
        </w:rPr>
        <w:t>46945.96</w:t>
      </w:r>
      <w:r>
        <w:rPr>
          <w:rFonts w:ascii="仿宋" w:eastAsia="仿宋" w:hAnsi="仿宋" w:cs="仿宋" w:hint="eastAsia"/>
          <w:sz w:val="32"/>
          <w:szCs w:val="32"/>
        </w:rPr>
        <w:t>万元。</w:t>
      </w:r>
      <w:r>
        <w:rPr>
          <w:rFonts w:ascii="仿宋" w:eastAsia="仿宋" w:hAnsi="仿宋" w:cs="仿宋"/>
          <w:sz w:val="32"/>
          <w:szCs w:val="32"/>
        </w:rPr>
        <w:t>2017</w:t>
      </w:r>
      <w:r>
        <w:rPr>
          <w:rFonts w:ascii="仿宋" w:eastAsia="仿宋" w:hAnsi="仿宋" w:cs="仿宋" w:hint="eastAsia"/>
          <w:sz w:val="32"/>
          <w:szCs w:val="32"/>
        </w:rPr>
        <w:t>年财政拨款支出决算总计</w:t>
      </w:r>
      <w:r>
        <w:rPr>
          <w:rFonts w:ascii="仿宋" w:eastAsia="仿宋" w:hAnsi="仿宋" w:cs="仿宋"/>
          <w:sz w:val="32"/>
          <w:szCs w:val="32"/>
        </w:rPr>
        <w:t>117887.32</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年度决算增加</w:t>
      </w:r>
      <w:r>
        <w:rPr>
          <w:rFonts w:ascii="仿宋" w:eastAsia="仿宋" w:hAnsi="仿宋" w:cs="仿宋"/>
          <w:sz w:val="32"/>
          <w:szCs w:val="32"/>
        </w:rPr>
        <w:t>33628.58</w:t>
      </w:r>
      <w:r>
        <w:rPr>
          <w:rFonts w:ascii="仿宋" w:eastAsia="仿宋" w:hAnsi="仿宋" w:cs="仿宋" w:hint="eastAsia"/>
          <w:sz w:val="32"/>
          <w:szCs w:val="32"/>
        </w:rPr>
        <w:t>万元，增长</w:t>
      </w:r>
      <w:r>
        <w:rPr>
          <w:rFonts w:ascii="仿宋" w:eastAsia="仿宋" w:hAnsi="仿宋" w:cs="仿宋"/>
          <w:sz w:val="32"/>
          <w:szCs w:val="32"/>
        </w:rPr>
        <w:t>39.91%</w:t>
      </w:r>
      <w:r>
        <w:rPr>
          <w:rFonts w:ascii="仿宋" w:eastAsia="仿宋" w:hAnsi="仿宋" w:cs="仿宋" w:hint="eastAsia"/>
          <w:sz w:val="32"/>
          <w:szCs w:val="32"/>
        </w:rPr>
        <w:t>，主要原因是异地购买补充耕地占补平衡指标增加。其中基本支出增加</w:t>
      </w:r>
      <w:r>
        <w:rPr>
          <w:rFonts w:ascii="仿宋" w:eastAsia="仿宋" w:hAnsi="仿宋" w:cs="仿宋"/>
          <w:sz w:val="32"/>
          <w:szCs w:val="32"/>
        </w:rPr>
        <w:t>379.31</w:t>
      </w:r>
      <w:r>
        <w:rPr>
          <w:rFonts w:ascii="仿宋" w:eastAsia="仿宋" w:hAnsi="仿宋" w:cs="仿宋" w:hint="eastAsia"/>
          <w:sz w:val="32"/>
          <w:szCs w:val="32"/>
        </w:rPr>
        <w:t>万元，项目支出增加</w:t>
      </w:r>
      <w:r>
        <w:rPr>
          <w:rFonts w:ascii="仿宋" w:eastAsia="仿宋" w:hAnsi="仿宋" w:cs="仿宋"/>
          <w:sz w:val="32"/>
          <w:szCs w:val="32"/>
        </w:rPr>
        <w:t>33249.27</w:t>
      </w:r>
      <w:r>
        <w:rPr>
          <w:rFonts w:ascii="仿宋" w:eastAsia="仿宋" w:hAnsi="仿宋" w:cs="仿宋" w:hint="eastAsia"/>
          <w:sz w:val="32"/>
          <w:szCs w:val="32"/>
        </w:rPr>
        <w:t>万元。</w:t>
      </w:r>
    </w:p>
    <w:p w:rsidR="00AE524C" w:rsidRDefault="00AE524C" w:rsidP="00EE0627">
      <w:pPr>
        <w:pStyle w:val="p0"/>
        <w:ind w:firstLineChars="200" w:firstLine="31680"/>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、财政拨款收支与年初预算数对比情况</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霸州市国土资源局</w:t>
      </w:r>
      <w:r>
        <w:rPr>
          <w:rFonts w:ascii="仿宋" w:eastAsia="仿宋" w:hAnsi="仿宋" w:cs="仿宋"/>
          <w:sz w:val="32"/>
          <w:szCs w:val="32"/>
        </w:rPr>
        <w:t>2017</w:t>
      </w:r>
      <w:r>
        <w:rPr>
          <w:rFonts w:ascii="仿宋" w:eastAsia="仿宋" w:hAnsi="仿宋" w:cs="仿宋" w:hint="eastAsia"/>
          <w:sz w:val="32"/>
          <w:szCs w:val="32"/>
        </w:rPr>
        <w:t>年财政拨款收入决算总计</w:t>
      </w:r>
      <w:r>
        <w:rPr>
          <w:rFonts w:ascii="仿宋" w:eastAsia="仿宋" w:hAnsi="仿宋" w:cs="仿宋"/>
          <w:sz w:val="32"/>
          <w:szCs w:val="32"/>
        </w:rPr>
        <w:t>123670.75</w:t>
      </w:r>
      <w:r>
        <w:rPr>
          <w:rFonts w:ascii="仿宋" w:eastAsia="仿宋" w:hAnsi="仿宋" w:cs="仿宋" w:hint="eastAsia"/>
          <w:sz w:val="32"/>
          <w:szCs w:val="32"/>
        </w:rPr>
        <w:t>万元，较年初预算减少</w:t>
      </w:r>
      <w:r>
        <w:rPr>
          <w:rFonts w:ascii="仿宋" w:eastAsia="仿宋" w:hAnsi="仿宋" w:cs="仿宋"/>
          <w:sz w:val="32"/>
          <w:szCs w:val="32"/>
        </w:rPr>
        <w:t>97928.91</w:t>
      </w:r>
      <w:r>
        <w:rPr>
          <w:rFonts w:ascii="仿宋" w:eastAsia="仿宋" w:hAnsi="仿宋" w:cs="仿宋" w:hint="eastAsia"/>
          <w:sz w:val="32"/>
          <w:szCs w:val="32"/>
        </w:rPr>
        <w:t>万元，下降</w:t>
      </w:r>
      <w:r>
        <w:rPr>
          <w:rFonts w:ascii="仿宋" w:eastAsia="仿宋" w:hAnsi="仿宋" w:cs="仿宋"/>
          <w:sz w:val="32"/>
          <w:szCs w:val="32"/>
        </w:rPr>
        <w:t>44.19%</w:t>
      </w:r>
      <w:r>
        <w:rPr>
          <w:rFonts w:ascii="仿宋" w:eastAsia="仿宋" w:hAnsi="仿宋" w:cs="仿宋" w:hint="eastAsia"/>
          <w:sz w:val="32"/>
          <w:szCs w:val="32"/>
        </w:rPr>
        <w:t>，主要原因是开发成本与异地购买补充耕地指标款根据出让土地情况列支。其中，一般公共预算拨款减少</w:t>
      </w:r>
      <w:r>
        <w:rPr>
          <w:rFonts w:ascii="仿宋" w:eastAsia="仿宋" w:hAnsi="仿宋" w:cs="仿宋"/>
          <w:sz w:val="32"/>
          <w:szCs w:val="32"/>
        </w:rPr>
        <w:t>953.63</w:t>
      </w:r>
      <w:r>
        <w:rPr>
          <w:rFonts w:ascii="仿宋" w:eastAsia="仿宋" w:hAnsi="仿宋" w:cs="仿宋" w:hint="eastAsia"/>
          <w:sz w:val="32"/>
          <w:szCs w:val="32"/>
        </w:rPr>
        <w:t>万元，政府性基金预算财政拨款减少</w:t>
      </w:r>
      <w:r>
        <w:rPr>
          <w:rFonts w:ascii="仿宋" w:eastAsia="仿宋" w:hAnsi="仿宋" w:cs="仿宋"/>
          <w:sz w:val="32"/>
          <w:szCs w:val="32"/>
        </w:rPr>
        <w:t>96975.28</w:t>
      </w:r>
      <w:r>
        <w:rPr>
          <w:rFonts w:ascii="仿宋" w:eastAsia="仿宋" w:hAnsi="仿宋" w:cs="仿宋" w:hint="eastAsia"/>
          <w:sz w:val="32"/>
          <w:szCs w:val="32"/>
        </w:rPr>
        <w:t>万元。</w:t>
      </w:r>
      <w:r>
        <w:rPr>
          <w:rFonts w:ascii="仿宋" w:eastAsia="仿宋" w:hAnsi="仿宋" w:cs="仿宋"/>
          <w:sz w:val="32"/>
          <w:szCs w:val="32"/>
        </w:rPr>
        <w:t>2017</w:t>
      </w:r>
      <w:r>
        <w:rPr>
          <w:rFonts w:ascii="仿宋" w:eastAsia="仿宋" w:hAnsi="仿宋" w:cs="仿宋" w:hint="eastAsia"/>
          <w:sz w:val="32"/>
          <w:szCs w:val="32"/>
        </w:rPr>
        <w:t>年财政拨款支出决算总计</w:t>
      </w:r>
      <w:r>
        <w:rPr>
          <w:rFonts w:ascii="仿宋" w:eastAsia="仿宋" w:hAnsi="仿宋" w:cs="仿宋"/>
          <w:sz w:val="32"/>
          <w:szCs w:val="32"/>
        </w:rPr>
        <w:t>117887.32</w:t>
      </w:r>
      <w:r>
        <w:rPr>
          <w:rFonts w:ascii="仿宋" w:eastAsia="仿宋" w:hAnsi="仿宋" w:cs="仿宋" w:hint="eastAsia"/>
          <w:sz w:val="32"/>
          <w:szCs w:val="32"/>
        </w:rPr>
        <w:t>万元，较年初预算减少</w:t>
      </w:r>
      <w:r>
        <w:rPr>
          <w:rFonts w:ascii="仿宋" w:eastAsia="仿宋" w:hAnsi="仿宋" w:cs="仿宋"/>
          <w:sz w:val="32"/>
          <w:szCs w:val="32"/>
        </w:rPr>
        <w:t>103712.34</w:t>
      </w:r>
      <w:r>
        <w:rPr>
          <w:rFonts w:ascii="仿宋" w:eastAsia="仿宋" w:hAnsi="仿宋" w:cs="仿宋" w:hint="eastAsia"/>
          <w:sz w:val="32"/>
          <w:szCs w:val="32"/>
        </w:rPr>
        <w:t>万元，下降</w:t>
      </w:r>
      <w:r>
        <w:rPr>
          <w:rFonts w:ascii="仿宋" w:eastAsia="仿宋" w:hAnsi="仿宋" w:cs="仿宋"/>
          <w:sz w:val="32"/>
          <w:szCs w:val="32"/>
        </w:rPr>
        <w:t>46.80%</w:t>
      </w:r>
      <w:r>
        <w:rPr>
          <w:rFonts w:ascii="仿宋" w:eastAsia="仿宋" w:hAnsi="仿宋" w:cs="仿宋" w:hint="eastAsia"/>
          <w:sz w:val="32"/>
          <w:szCs w:val="32"/>
        </w:rPr>
        <w:t>，主要原因是开发成本与异地购买补充耕地指标款根据出让土地情况列支。其中基本支出增加</w:t>
      </w:r>
      <w:r>
        <w:rPr>
          <w:rFonts w:ascii="仿宋" w:eastAsia="仿宋" w:hAnsi="仿宋" w:cs="仿宋"/>
          <w:sz w:val="32"/>
          <w:szCs w:val="32"/>
        </w:rPr>
        <w:t>652.98</w:t>
      </w:r>
      <w:r>
        <w:rPr>
          <w:rFonts w:ascii="仿宋" w:eastAsia="仿宋" w:hAnsi="仿宋" w:cs="仿宋" w:hint="eastAsia"/>
          <w:sz w:val="32"/>
          <w:szCs w:val="32"/>
        </w:rPr>
        <w:t>万元，项目支出减少</w:t>
      </w:r>
      <w:r>
        <w:rPr>
          <w:rFonts w:ascii="仿宋" w:eastAsia="仿宋" w:hAnsi="仿宋" w:cs="仿宋"/>
          <w:sz w:val="32"/>
          <w:szCs w:val="32"/>
        </w:rPr>
        <w:t>104365.32</w:t>
      </w:r>
      <w:r>
        <w:rPr>
          <w:rFonts w:ascii="仿宋" w:eastAsia="仿宋" w:hAnsi="仿宋" w:cs="仿宋" w:hint="eastAsia"/>
          <w:sz w:val="32"/>
          <w:szCs w:val="32"/>
        </w:rPr>
        <w:t>万元。</w:t>
      </w:r>
    </w:p>
    <w:p w:rsidR="00AE524C" w:rsidRDefault="00AE524C">
      <w:pPr>
        <w:snapToGrid w:val="0"/>
        <w:ind w:firstLine="643"/>
        <w:rPr>
          <w:rFonts w:ascii="楷体" w:eastAsia="楷体" w:hAnsi="楷体" w:cs="Times New Roman"/>
          <w:b/>
          <w:bCs/>
          <w:sz w:val="32"/>
          <w:szCs w:val="32"/>
        </w:rPr>
      </w:pPr>
      <w:r>
        <w:rPr>
          <w:rFonts w:ascii="楷体" w:eastAsia="楷体" w:hAnsi="楷体" w:cs="楷体" w:hint="eastAsia"/>
          <w:b/>
          <w:bCs/>
          <w:sz w:val="32"/>
          <w:szCs w:val="32"/>
        </w:rPr>
        <w:t>（五）“三公”经费支出决算情况说明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年度部门“三公”经费支出</w:t>
      </w:r>
      <w:r>
        <w:rPr>
          <w:rFonts w:ascii="仿宋" w:eastAsia="仿宋" w:hAnsi="仿宋" w:cs="仿宋"/>
          <w:sz w:val="32"/>
          <w:szCs w:val="32"/>
        </w:rPr>
        <w:t>44.7</w:t>
      </w:r>
      <w:r>
        <w:rPr>
          <w:rFonts w:ascii="仿宋" w:eastAsia="仿宋" w:hAnsi="仿宋" w:cs="仿宋" w:hint="eastAsia"/>
          <w:sz w:val="32"/>
          <w:szCs w:val="32"/>
        </w:rPr>
        <w:t>万元，为一般公共预算安排资金，另有</w:t>
      </w:r>
      <w:r>
        <w:rPr>
          <w:rFonts w:ascii="仿宋" w:eastAsia="仿宋" w:hAnsi="仿宋" w:cs="仿宋"/>
          <w:sz w:val="32"/>
          <w:szCs w:val="32"/>
        </w:rPr>
        <w:t>13</w:t>
      </w:r>
      <w:r>
        <w:rPr>
          <w:rFonts w:ascii="仿宋" w:eastAsia="仿宋" w:hAnsi="仿宋" w:cs="仿宋" w:hint="eastAsia"/>
          <w:sz w:val="32"/>
          <w:szCs w:val="32"/>
        </w:rPr>
        <w:t>万元为政府性基金用于“三公”经费支出，未汇总入“三公”经费支出表，实际三公经费支出</w:t>
      </w:r>
      <w:r>
        <w:rPr>
          <w:rFonts w:ascii="仿宋" w:eastAsia="仿宋" w:hAnsi="仿宋" w:cs="仿宋"/>
          <w:sz w:val="32"/>
          <w:szCs w:val="32"/>
        </w:rPr>
        <w:t>57.7</w:t>
      </w:r>
      <w:r>
        <w:rPr>
          <w:rFonts w:ascii="仿宋" w:eastAsia="仿宋" w:hAnsi="仿宋" w:cs="仿宋" w:hint="eastAsia"/>
          <w:sz w:val="32"/>
          <w:szCs w:val="32"/>
        </w:rPr>
        <w:t>万元。比预算减少</w:t>
      </w:r>
      <w:r>
        <w:rPr>
          <w:rFonts w:ascii="仿宋" w:eastAsia="仿宋" w:hAnsi="仿宋" w:cs="仿宋"/>
          <w:sz w:val="32"/>
          <w:szCs w:val="32"/>
        </w:rPr>
        <w:t>15.33</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年度决算减少</w:t>
      </w:r>
      <w:r>
        <w:rPr>
          <w:rFonts w:ascii="仿宋" w:eastAsia="仿宋" w:hAnsi="仿宋" w:cs="仿宋"/>
          <w:sz w:val="32"/>
          <w:szCs w:val="32"/>
        </w:rPr>
        <w:t>43.23</w:t>
      </w:r>
      <w:r>
        <w:rPr>
          <w:rFonts w:ascii="仿宋" w:eastAsia="仿宋" w:hAnsi="仿宋" w:cs="仿宋" w:hint="eastAsia"/>
          <w:sz w:val="32"/>
          <w:szCs w:val="32"/>
        </w:rPr>
        <w:t>万元。原因是公车改革，我单位公务用车数量减少，我单位厉行节约，严控三公经费支出。</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其中：因公出国（境）费</w:t>
      </w:r>
      <w:r>
        <w:rPr>
          <w:rFonts w:ascii="仿宋" w:eastAsia="仿宋" w:hAnsi="仿宋" w:cs="仿宋"/>
          <w:sz w:val="32"/>
          <w:szCs w:val="32"/>
        </w:rPr>
        <w:t>0</w:t>
      </w:r>
      <w:r>
        <w:rPr>
          <w:rFonts w:ascii="仿宋" w:eastAsia="仿宋" w:hAnsi="仿宋" w:cs="仿宋" w:hint="eastAsia"/>
          <w:sz w:val="32"/>
          <w:szCs w:val="32"/>
        </w:rPr>
        <w:t>万元（本单位</w:t>
      </w:r>
      <w:r>
        <w:rPr>
          <w:rFonts w:ascii="仿宋" w:eastAsia="仿宋" w:hAnsi="仿宋" w:cs="仿宋"/>
          <w:sz w:val="32"/>
          <w:szCs w:val="32"/>
        </w:rPr>
        <w:t>2017</w:t>
      </w:r>
      <w:r>
        <w:rPr>
          <w:rFonts w:ascii="仿宋" w:eastAsia="仿宋" w:hAnsi="仿宋" w:cs="仿宋" w:hint="eastAsia"/>
          <w:sz w:val="32"/>
          <w:szCs w:val="32"/>
        </w:rPr>
        <w:t>年度组织出国（境）团组</w:t>
      </w:r>
      <w:r>
        <w:rPr>
          <w:rFonts w:ascii="仿宋" w:eastAsia="仿宋" w:hAnsi="仿宋" w:cs="仿宋"/>
          <w:sz w:val="32"/>
          <w:szCs w:val="32"/>
        </w:rPr>
        <w:t>0</w:t>
      </w:r>
      <w:r>
        <w:rPr>
          <w:rFonts w:ascii="仿宋" w:eastAsia="仿宋" w:hAnsi="仿宋" w:cs="仿宋" w:hint="eastAsia"/>
          <w:sz w:val="32"/>
          <w:szCs w:val="32"/>
        </w:rPr>
        <w:t>个，因公出国（境）人次数</w:t>
      </w:r>
      <w:r>
        <w:rPr>
          <w:rFonts w:ascii="仿宋" w:eastAsia="仿宋" w:hAnsi="仿宋" w:cs="仿宋"/>
          <w:sz w:val="32"/>
          <w:szCs w:val="32"/>
        </w:rPr>
        <w:t>0</w:t>
      </w:r>
      <w:r>
        <w:rPr>
          <w:rFonts w:ascii="仿宋" w:eastAsia="仿宋" w:hAnsi="仿宋" w:cs="仿宋" w:hint="eastAsia"/>
          <w:sz w:val="32"/>
          <w:szCs w:val="32"/>
        </w:rPr>
        <w:t>人），与预算持平，与</w:t>
      </w:r>
      <w:r>
        <w:rPr>
          <w:rFonts w:ascii="仿宋" w:eastAsia="仿宋" w:hAnsi="仿宋" w:cs="仿宋"/>
          <w:sz w:val="32"/>
          <w:szCs w:val="32"/>
        </w:rPr>
        <w:t>2016</w:t>
      </w:r>
      <w:r>
        <w:rPr>
          <w:rFonts w:ascii="仿宋" w:eastAsia="仿宋" w:hAnsi="仿宋" w:cs="仿宋" w:hint="eastAsia"/>
          <w:sz w:val="32"/>
          <w:szCs w:val="32"/>
        </w:rPr>
        <w:t>年度决算持平；公务用车购置及运行维护费</w:t>
      </w:r>
      <w:r>
        <w:rPr>
          <w:rFonts w:ascii="仿宋" w:eastAsia="仿宋" w:hAnsi="仿宋" w:cs="仿宋"/>
          <w:sz w:val="32"/>
          <w:szCs w:val="32"/>
        </w:rPr>
        <w:t>57.7</w:t>
      </w:r>
      <w:r>
        <w:rPr>
          <w:rFonts w:ascii="仿宋" w:eastAsia="仿宋" w:hAnsi="仿宋" w:cs="仿宋" w:hint="eastAsia"/>
          <w:sz w:val="32"/>
          <w:szCs w:val="32"/>
        </w:rPr>
        <w:t>万元（公务用车购置数量</w:t>
      </w:r>
      <w:r>
        <w:rPr>
          <w:rFonts w:ascii="仿宋" w:eastAsia="仿宋" w:hAnsi="仿宋" w:cs="仿宋"/>
          <w:sz w:val="32"/>
          <w:szCs w:val="32"/>
        </w:rPr>
        <w:t>0</w:t>
      </w:r>
      <w:r>
        <w:rPr>
          <w:rFonts w:ascii="仿宋" w:eastAsia="仿宋" w:hAnsi="仿宋" w:cs="仿宋" w:hint="eastAsia"/>
          <w:sz w:val="32"/>
          <w:szCs w:val="32"/>
        </w:rPr>
        <w:t>辆，购置金额</w:t>
      </w:r>
      <w:r>
        <w:rPr>
          <w:rFonts w:ascii="仿宋" w:eastAsia="仿宋" w:hAnsi="仿宋" w:cs="仿宋"/>
          <w:sz w:val="32"/>
          <w:szCs w:val="32"/>
        </w:rPr>
        <w:t>0</w:t>
      </w:r>
      <w:r>
        <w:rPr>
          <w:rFonts w:ascii="仿宋" w:eastAsia="仿宋" w:hAnsi="仿宋" w:cs="仿宋" w:hint="eastAsia"/>
          <w:sz w:val="32"/>
          <w:szCs w:val="32"/>
        </w:rPr>
        <w:t>万元，公车运行维护费</w:t>
      </w:r>
      <w:r>
        <w:rPr>
          <w:rFonts w:ascii="仿宋" w:eastAsia="仿宋" w:hAnsi="仿宋" w:cs="仿宋"/>
          <w:sz w:val="32"/>
          <w:szCs w:val="32"/>
        </w:rPr>
        <w:t>57.7</w:t>
      </w:r>
      <w:bookmarkStart w:id="0" w:name="_GoBack"/>
      <w:bookmarkEnd w:id="0"/>
      <w:r>
        <w:rPr>
          <w:rFonts w:ascii="仿宋" w:eastAsia="仿宋" w:hAnsi="仿宋" w:cs="仿宋" w:hint="eastAsia"/>
          <w:sz w:val="32"/>
          <w:szCs w:val="32"/>
        </w:rPr>
        <w:t>万元，年末公务用车保有量</w:t>
      </w:r>
      <w:r>
        <w:rPr>
          <w:rFonts w:ascii="仿宋" w:eastAsia="仿宋" w:hAnsi="仿宋" w:cs="仿宋"/>
          <w:sz w:val="32"/>
          <w:szCs w:val="32"/>
        </w:rPr>
        <w:t>25</w:t>
      </w:r>
      <w:r>
        <w:rPr>
          <w:rFonts w:ascii="仿宋" w:eastAsia="仿宋" w:hAnsi="仿宋" w:cs="仿宋" w:hint="eastAsia"/>
          <w:sz w:val="32"/>
          <w:szCs w:val="32"/>
        </w:rPr>
        <w:t>辆），比预算减少</w:t>
      </w:r>
      <w:r>
        <w:rPr>
          <w:rFonts w:ascii="仿宋" w:eastAsia="仿宋" w:hAnsi="仿宋" w:cs="仿宋"/>
          <w:sz w:val="32"/>
          <w:szCs w:val="32"/>
        </w:rPr>
        <w:t>4.8</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年度决算减少</w:t>
      </w:r>
      <w:r>
        <w:rPr>
          <w:rFonts w:ascii="仿宋" w:eastAsia="仿宋" w:hAnsi="仿宋" w:cs="仿宋"/>
          <w:sz w:val="32"/>
          <w:szCs w:val="32"/>
        </w:rPr>
        <w:t>43.23</w:t>
      </w:r>
      <w:r>
        <w:rPr>
          <w:rFonts w:ascii="仿宋" w:eastAsia="仿宋" w:hAnsi="仿宋" w:cs="仿宋" w:hint="eastAsia"/>
          <w:sz w:val="32"/>
          <w:szCs w:val="32"/>
        </w:rPr>
        <w:t>万元，原因是公车改革，我单位公务用车数量减少，我单位厉行节约，严控公车运维支出；公务接待费</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2017</w:t>
      </w:r>
      <w:r>
        <w:rPr>
          <w:rFonts w:ascii="仿宋" w:eastAsia="仿宋" w:hAnsi="仿宋" w:cs="仿宋" w:hint="eastAsia"/>
          <w:sz w:val="32"/>
          <w:szCs w:val="32"/>
        </w:rPr>
        <w:t>年度国内公务接待</w:t>
      </w:r>
      <w:r>
        <w:rPr>
          <w:rFonts w:ascii="仿宋" w:eastAsia="仿宋" w:hAnsi="仿宋" w:cs="仿宋"/>
          <w:sz w:val="32"/>
          <w:szCs w:val="32"/>
        </w:rPr>
        <w:t>0</w:t>
      </w:r>
      <w:r>
        <w:rPr>
          <w:rFonts w:ascii="仿宋" w:eastAsia="仿宋" w:hAnsi="仿宋" w:cs="仿宋" w:hint="eastAsia"/>
          <w:sz w:val="32"/>
          <w:szCs w:val="32"/>
        </w:rPr>
        <w:t>批次，合计接待</w:t>
      </w:r>
      <w:r>
        <w:rPr>
          <w:rFonts w:ascii="仿宋" w:eastAsia="仿宋" w:hAnsi="仿宋" w:cs="仿宋"/>
          <w:sz w:val="32"/>
          <w:szCs w:val="32"/>
        </w:rPr>
        <w:t>0</w:t>
      </w:r>
      <w:r>
        <w:rPr>
          <w:rFonts w:ascii="仿宋" w:eastAsia="仿宋" w:hAnsi="仿宋" w:cs="仿宋" w:hint="eastAsia"/>
          <w:sz w:val="32"/>
          <w:szCs w:val="32"/>
        </w:rPr>
        <w:t>人次），比预算减少</w:t>
      </w:r>
      <w:r>
        <w:rPr>
          <w:rFonts w:ascii="仿宋" w:eastAsia="仿宋" w:hAnsi="仿宋" w:cs="仿宋"/>
          <w:sz w:val="32"/>
          <w:szCs w:val="32"/>
        </w:rPr>
        <w:t>10.53</w:t>
      </w:r>
      <w:r>
        <w:rPr>
          <w:rFonts w:ascii="仿宋" w:eastAsia="仿宋" w:hAnsi="仿宋" w:cs="仿宋" w:hint="eastAsia"/>
          <w:sz w:val="32"/>
          <w:szCs w:val="32"/>
        </w:rPr>
        <w:t>万元，与</w:t>
      </w:r>
      <w:r>
        <w:rPr>
          <w:rFonts w:ascii="仿宋" w:eastAsia="仿宋" w:hAnsi="仿宋" w:cs="仿宋"/>
          <w:sz w:val="32"/>
          <w:szCs w:val="32"/>
        </w:rPr>
        <w:t>2016</w:t>
      </w:r>
      <w:r>
        <w:rPr>
          <w:rFonts w:ascii="仿宋" w:eastAsia="仿宋" w:hAnsi="仿宋" w:cs="仿宋" w:hint="eastAsia"/>
          <w:sz w:val="32"/>
          <w:szCs w:val="32"/>
        </w:rPr>
        <w:t>年度决算持平，原因是我部门厉行节约严控公务接待费支出。</w:t>
      </w:r>
    </w:p>
    <w:p w:rsidR="00AE524C" w:rsidRDefault="00AE524C" w:rsidP="00EE0627">
      <w:pPr>
        <w:spacing w:line="580" w:lineRule="atLeast"/>
        <w:ind w:firstLineChars="200" w:firstLine="31680"/>
        <w:rPr>
          <w:rFonts w:ascii="楷体" w:eastAsia="楷体" w:hAnsi="楷体" w:cs="Times New Roman"/>
          <w:b/>
          <w:bCs/>
          <w:sz w:val="32"/>
          <w:szCs w:val="32"/>
        </w:rPr>
      </w:pPr>
      <w:r>
        <w:rPr>
          <w:rFonts w:ascii="楷体" w:eastAsia="楷体" w:hAnsi="楷体" w:cs="楷体" w:hint="eastAsia"/>
          <w:b/>
          <w:bCs/>
          <w:sz w:val="32"/>
          <w:szCs w:val="32"/>
        </w:rPr>
        <w:t>（六）预算绩效管理工作开展情况说明</w:t>
      </w:r>
    </w:p>
    <w:p w:rsidR="00AE524C" w:rsidRDefault="00AE524C" w:rsidP="00EE0627">
      <w:pPr>
        <w:spacing w:line="580" w:lineRule="atLeast"/>
        <w:ind w:firstLineChars="200" w:firstLine="31680"/>
        <w:rPr>
          <w:rFonts w:ascii="仿宋" w:eastAsia="仿宋" w:hAnsi="仿宋" w:cs="Times New Roman"/>
          <w:b/>
          <w:bCs/>
          <w:sz w:val="32"/>
          <w:szCs w:val="32"/>
        </w:rPr>
      </w:pPr>
      <w:r>
        <w:rPr>
          <w:rFonts w:ascii="仿宋" w:eastAsia="仿宋" w:hAnsi="仿宋" w:cs="仿宋"/>
          <w:b/>
          <w:bCs/>
          <w:sz w:val="32"/>
          <w:szCs w:val="32"/>
        </w:rPr>
        <w:t>1</w:t>
      </w:r>
      <w:r>
        <w:rPr>
          <w:rFonts w:ascii="仿宋" w:eastAsia="仿宋" w:hAnsi="仿宋" w:cs="仿宋" w:hint="eastAsia"/>
          <w:b/>
          <w:bCs/>
          <w:sz w:val="32"/>
          <w:szCs w:val="32"/>
        </w:rPr>
        <w:t>、预算绩效管理工作开展情况</w:t>
      </w:r>
    </w:p>
    <w:p w:rsidR="00AE524C" w:rsidRDefault="00AE524C" w:rsidP="00EE0627">
      <w:pPr>
        <w:spacing w:line="580" w:lineRule="atLeast"/>
        <w:ind w:firstLineChars="200" w:firstLine="31680"/>
        <w:rPr>
          <w:rFonts w:ascii="仿宋" w:eastAsia="仿宋" w:hAnsi="仿宋" w:cs="Times New Roman"/>
          <w:b/>
          <w:bCs/>
          <w:sz w:val="32"/>
          <w:szCs w:val="32"/>
        </w:rPr>
      </w:pPr>
      <w:r>
        <w:rPr>
          <w:rFonts w:ascii="仿宋" w:eastAsia="仿宋" w:hAnsi="仿宋" w:cs="仿宋" w:hint="eastAsia"/>
          <w:sz w:val="32"/>
          <w:szCs w:val="32"/>
        </w:rPr>
        <w:t>按照霸州市财政局关于绩效预算管理工作的文件精神，我部门健全预算管理体系、提升绩效目标指标设置质量、规范编制本部门预算、规范编制项目预算、规范预算管理流程，所有项目纳入财政预算项目库管理并严格执行预算公开管理制度。在预算执行过程中，加快预算执行进度，加强项目绩效监督评价，并严格执行决算公开制度。在</w:t>
      </w:r>
      <w:r>
        <w:rPr>
          <w:rFonts w:ascii="仿宋" w:eastAsia="仿宋" w:hAnsi="仿宋" w:cs="仿宋"/>
          <w:sz w:val="32"/>
          <w:szCs w:val="32"/>
        </w:rPr>
        <w:t>2017</w:t>
      </w:r>
      <w:r>
        <w:rPr>
          <w:rFonts w:ascii="仿宋" w:eastAsia="仿宋" w:hAnsi="仿宋" w:cs="仿宋" w:hint="eastAsia"/>
          <w:sz w:val="32"/>
          <w:szCs w:val="32"/>
        </w:rPr>
        <w:t>年实施的项目中设定具体的绩效目标指标和评价标准，确保达到目标可衡量、可审核、可监控、可获取、可评价、可公开。</w:t>
      </w:r>
    </w:p>
    <w:p w:rsidR="00AE524C" w:rsidRDefault="00AE524C" w:rsidP="00EE0627">
      <w:pPr>
        <w:spacing w:line="580" w:lineRule="atLeast"/>
        <w:ind w:firstLineChars="200" w:firstLine="31680"/>
        <w:rPr>
          <w:rFonts w:ascii="仿宋" w:eastAsia="仿宋" w:hAnsi="仿宋" w:cs="Times New Roman"/>
          <w:b/>
          <w:bCs/>
          <w:sz w:val="32"/>
          <w:szCs w:val="32"/>
        </w:rPr>
      </w:pPr>
      <w:r>
        <w:rPr>
          <w:rFonts w:ascii="仿宋" w:eastAsia="仿宋" w:hAnsi="仿宋" w:cs="仿宋"/>
          <w:b/>
          <w:bCs/>
          <w:sz w:val="32"/>
          <w:szCs w:val="32"/>
        </w:rPr>
        <w:t>2</w:t>
      </w:r>
      <w:r>
        <w:rPr>
          <w:rFonts w:ascii="仿宋" w:eastAsia="仿宋" w:hAnsi="仿宋" w:cs="仿宋" w:hint="eastAsia"/>
          <w:b/>
          <w:bCs/>
          <w:sz w:val="32"/>
          <w:szCs w:val="32"/>
        </w:rPr>
        <w:t>、预算项目绩效评价开展情况</w:t>
      </w:r>
    </w:p>
    <w:p w:rsidR="00AE524C" w:rsidRDefault="00AE524C" w:rsidP="00EE0627">
      <w:pPr>
        <w:spacing w:line="580" w:lineRule="atLeast"/>
        <w:ind w:firstLineChars="200" w:firstLine="31680"/>
        <w:rPr>
          <w:rFonts w:ascii="仿宋" w:eastAsia="仿宋" w:hAnsi="仿宋" w:cs="Times New Roman"/>
          <w:b/>
          <w:bCs/>
          <w:sz w:val="32"/>
          <w:szCs w:val="32"/>
        </w:rPr>
      </w:pPr>
      <w:r>
        <w:rPr>
          <w:rFonts w:ascii="仿宋" w:eastAsia="仿宋" w:hAnsi="仿宋" w:cs="仿宋" w:hint="eastAsia"/>
          <w:sz w:val="32"/>
          <w:szCs w:val="32"/>
        </w:rPr>
        <w:t>按照新预算法要求，我部门将项目绩效评价工作融入到整个项目执行过程中，牢固树立“讲绩效、重绩效、用绩效”的绩效评价管理理念，以绩效为向导，积极构建预算编制有目标、预算执行有监控、预算完成有评价、预算结果有应用的全过程预算绩效管理体制。我部门选取</w:t>
      </w:r>
      <w:r>
        <w:rPr>
          <w:rFonts w:ascii="仿宋" w:eastAsia="仿宋" w:hAnsi="仿宋" w:cs="仿宋"/>
          <w:sz w:val="32"/>
          <w:szCs w:val="32"/>
        </w:rPr>
        <w:t>2017</w:t>
      </w:r>
      <w:r>
        <w:rPr>
          <w:rFonts w:ascii="仿宋" w:eastAsia="仿宋" w:hAnsi="仿宋" w:cs="仿宋" w:hint="eastAsia"/>
          <w:sz w:val="32"/>
          <w:szCs w:val="32"/>
        </w:rPr>
        <w:t>年综合土地流转收益金项目开展绩效评价，每季度上报预算项目绩效运行监控情况表和项目自评报告。绩效评价结果是进一步强化了部门支出责任，提高了部门绩效意识，优化了资源配置，控制节约成本，切实提高了项目资金管理水平和使用效益。评价结果为优，纲要规划成果完成率为</w:t>
      </w:r>
      <w:r>
        <w:rPr>
          <w:rFonts w:ascii="仿宋" w:eastAsia="仿宋" w:hAnsi="仿宋" w:cs="仿宋"/>
          <w:sz w:val="32"/>
          <w:szCs w:val="32"/>
        </w:rPr>
        <w:t>95%</w:t>
      </w:r>
      <w:r>
        <w:rPr>
          <w:rFonts w:ascii="仿宋" w:eastAsia="仿宋" w:hAnsi="仿宋" w:cs="仿宋" w:hint="eastAsia"/>
          <w:sz w:val="32"/>
          <w:szCs w:val="32"/>
        </w:rPr>
        <w:t>，绩效指标评价为优，综合利用率为</w:t>
      </w:r>
      <w:r>
        <w:rPr>
          <w:rFonts w:ascii="仿宋" w:eastAsia="仿宋" w:hAnsi="仿宋" w:cs="仿宋"/>
          <w:sz w:val="32"/>
          <w:szCs w:val="32"/>
        </w:rPr>
        <w:t>90%</w:t>
      </w:r>
      <w:r>
        <w:rPr>
          <w:rFonts w:ascii="仿宋" w:eastAsia="仿宋" w:hAnsi="仿宋" w:cs="仿宋" w:hint="eastAsia"/>
          <w:sz w:val="32"/>
          <w:szCs w:val="32"/>
        </w:rPr>
        <w:t>，绩效指标评价为良。</w:t>
      </w:r>
    </w:p>
    <w:p w:rsidR="00AE524C" w:rsidRDefault="00AE524C" w:rsidP="00EE0627">
      <w:pPr>
        <w:spacing w:line="580" w:lineRule="atLeast"/>
        <w:ind w:firstLineChars="200" w:firstLine="31680"/>
        <w:rPr>
          <w:rFonts w:ascii="楷体" w:eastAsia="楷体" w:hAnsi="楷体" w:cs="Times New Roman"/>
          <w:b/>
          <w:bCs/>
          <w:sz w:val="32"/>
          <w:szCs w:val="32"/>
        </w:rPr>
      </w:pPr>
      <w:r>
        <w:rPr>
          <w:rFonts w:ascii="楷体" w:eastAsia="楷体" w:hAnsi="楷体" w:cs="楷体" w:hint="eastAsia"/>
          <w:b/>
          <w:bCs/>
          <w:sz w:val="32"/>
          <w:szCs w:val="32"/>
        </w:rPr>
        <w:t>（七）其他重要事项的说明</w:t>
      </w:r>
    </w:p>
    <w:p w:rsidR="00AE524C" w:rsidRDefault="00AE524C" w:rsidP="00EE0627">
      <w:pPr>
        <w:ind w:firstLineChars="200" w:firstLine="31680"/>
        <w:rPr>
          <w:rFonts w:ascii="仿宋" w:eastAsia="仿宋" w:hAnsi="仿宋" w:cs="Times New Roman"/>
          <w:sz w:val="32"/>
          <w:szCs w:val="32"/>
        </w:rPr>
      </w:pPr>
      <w:r>
        <w:rPr>
          <w:rFonts w:ascii="仿宋" w:eastAsia="仿宋" w:hAnsi="仿宋" w:cs="仿宋"/>
          <w:b/>
          <w:bCs/>
          <w:sz w:val="32"/>
          <w:szCs w:val="32"/>
        </w:rPr>
        <w:t>1</w:t>
      </w:r>
      <w:r>
        <w:rPr>
          <w:rFonts w:ascii="仿宋" w:eastAsia="仿宋" w:hAnsi="仿宋" w:cs="仿宋" w:hint="eastAsia"/>
          <w:b/>
          <w:bCs/>
          <w:sz w:val="32"/>
          <w:szCs w:val="32"/>
        </w:rPr>
        <w:t>、机关运行经费情况：</w:t>
      </w:r>
      <w:r>
        <w:rPr>
          <w:rFonts w:ascii="仿宋" w:eastAsia="仿宋" w:hAnsi="仿宋" w:cs="仿宋"/>
          <w:sz w:val="32"/>
          <w:szCs w:val="32"/>
        </w:rPr>
        <w:t>2017</w:t>
      </w:r>
      <w:r>
        <w:rPr>
          <w:rFonts w:ascii="仿宋" w:eastAsia="仿宋" w:hAnsi="仿宋" w:cs="仿宋" w:hint="eastAsia"/>
          <w:sz w:val="32"/>
          <w:szCs w:val="32"/>
        </w:rPr>
        <w:t>年度部门机关运行经费支出</w:t>
      </w:r>
      <w:r>
        <w:rPr>
          <w:rFonts w:ascii="仿宋" w:eastAsia="仿宋" w:hAnsi="仿宋" w:cs="仿宋"/>
          <w:sz w:val="32"/>
          <w:szCs w:val="32"/>
        </w:rPr>
        <w:t>653.93</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年度减少</w:t>
      </w:r>
      <w:r>
        <w:rPr>
          <w:rFonts w:ascii="仿宋" w:eastAsia="仿宋" w:hAnsi="仿宋" w:cs="仿宋"/>
          <w:sz w:val="32"/>
          <w:szCs w:val="32"/>
        </w:rPr>
        <w:t>150.21</w:t>
      </w:r>
      <w:r>
        <w:rPr>
          <w:rFonts w:ascii="仿宋" w:eastAsia="仿宋" w:hAnsi="仿宋" w:cs="仿宋" w:hint="eastAsia"/>
          <w:sz w:val="32"/>
          <w:szCs w:val="32"/>
        </w:rPr>
        <w:t>万元，下降</w:t>
      </w:r>
      <w:r>
        <w:rPr>
          <w:rFonts w:ascii="仿宋" w:eastAsia="仿宋" w:hAnsi="仿宋" w:cs="仿宋"/>
          <w:sz w:val="32"/>
          <w:szCs w:val="32"/>
        </w:rPr>
        <w:t>18.68%</w:t>
      </w:r>
      <w:r>
        <w:rPr>
          <w:rFonts w:ascii="仿宋" w:eastAsia="仿宋" w:hAnsi="仿宋" w:cs="仿宋" w:hint="eastAsia"/>
          <w:sz w:val="32"/>
          <w:szCs w:val="32"/>
        </w:rPr>
        <w:t>。主要原因是我部门厉行节约严控办公、印刷、维修等各项费用的支出。</w:t>
      </w:r>
    </w:p>
    <w:p w:rsidR="00AE524C" w:rsidRDefault="00AE524C" w:rsidP="00EE0627">
      <w:pPr>
        <w:snapToGrid w:val="0"/>
        <w:ind w:firstLineChars="200" w:firstLine="31680"/>
        <w:rPr>
          <w:rFonts w:ascii="仿宋" w:eastAsia="仿宋" w:hAnsi="仿宋" w:cs="Times New Roman"/>
          <w:kern w:val="0"/>
          <w:sz w:val="32"/>
          <w:szCs w:val="32"/>
        </w:rPr>
      </w:pPr>
      <w:r>
        <w:rPr>
          <w:rFonts w:ascii="仿宋" w:eastAsia="仿宋" w:hAnsi="仿宋" w:cs="仿宋"/>
          <w:b/>
          <w:bCs/>
          <w:sz w:val="32"/>
          <w:szCs w:val="32"/>
        </w:rPr>
        <w:t>2</w:t>
      </w:r>
      <w:r>
        <w:rPr>
          <w:rFonts w:ascii="仿宋" w:eastAsia="仿宋" w:hAnsi="仿宋" w:cs="仿宋" w:hint="eastAsia"/>
          <w:b/>
          <w:bCs/>
          <w:sz w:val="32"/>
          <w:szCs w:val="32"/>
        </w:rPr>
        <w:t>、政府采购情况</w:t>
      </w:r>
      <w:r>
        <w:rPr>
          <w:rFonts w:ascii="仿宋" w:eastAsia="仿宋" w:hAnsi="仿宋" w:cs="仿宋" w:hint="eastAsia"/>
          <w:kern w:val="0"/>
          <w:sz w:val="32"/>
          <w:szCs w:val="32"/>
        </w:rPr>
        <w:t>：</w:t>
      </w:r>
      <w:r>
        <w:rPr>
          <w:rFonts w:ascii="仿宋" w:eastAsia="仿宋" w:hAnsi="仿宋" w:cs="仿宋"/>
          <w:kern w:val="0"/>
          <w:sz w:val="32"/>
          <w:szCs w:val="32"/>
        </w:rPr>
        <w:t>2017</w:t>
      </w:r>
      <w:r>
        <w:rPr>
          <w:rFonts w:ascii="仿宋" w:eastAsia="仿宋" w:hAnsi="仿宋" w:cs="仿宋" w:hint="eastAsia"/>
          <w:kern w:val="0"/>
          <w:sz w:val="32"/>
          <w:szCs w:val="32"/>
        </w:rPr>
        <w:t>年度部门政府采购支出</w:t>
      </w:r>
      <w:r>
        <w:rPr>
          <w:rFonts w:ascii="仿宋" w:eastAsia="仿宋" w:hAnsi="仿宋" w:cs="仿宋"/>
          <w:kern w:val="0"/>
          <w:sz w:val="32"/>
          <w:szCs w:val="32"/>
        </w:rPr>
        <w:t>9911.51</w:t>
      </w:r>
      <w:r>
        <w:rPr>
          <w:rFonts w:ascii="仿宋" w:eastAsia="仿宋" w:hAnsi="仿宋" w:cs="仿宋" w:hint="eastAsia"/>
          <w:kern w:val="0"/>
          <w:sz w:val="32"/>
          <w:szCs w:val="32"/>
        </w:rPr>
        <w:t>万元，其中：政府采购工程支出</w:t>
      </w:r>
      <w:r>
        <w:rPr>
          <w:rFonts w:ascii="仿宋" w:eastAsia="仿宋" w:hAnsi="仿宋" w:cs="仿宋"/>
          <w:kern w:val="0"/>
          <w:sz w:val="32"/>
          <w:szCs w:val="32"/>
        </w:rPr>
        <w:t>7964.97</w:t>
      </w:r>
      <w:r>
        <w:rPr>
          <w:rFonts w:ascii="仿宋" w:eastAsia="仿宋" w:hAnsi="仿宋" w:cs="仿宋" w:hint="eastAsia"/>
          <w:kern w:val="0"/>
          <w:sz w:val="32"/>
          <w:szCs w:val="32"/>
        </w:rPr>
        <w:t>万元，政府采购服务支出</w:t>
      </w:r>
      <w:r>
        <w:rPr>
          <w:rFonts w:ascii="仿宋" w:eastAsia="仿宋" w:hAnsi="仿宋" w:cs="仿宋"/>
          <w:kern w:val="0"/>
          <w:sz w:val="32"/>
          <w:szCs w:val="32"/>
        </w:rPr>
        <w:t>1946.54</w:t>
      </w:r>
      <w:r>
        <w:rPr>
          <w:rFonts w:ascii="仿宋" w:eastAsia="仿宋" w:hAnsi="仿宋" w:cs="仿宋" w:hint="eastAsia"/>
          <w:kern w:val="0"/>
          <w:sz w:val="32"/>
          <w:szCs w:val="32"/>
        </w:rPr>
        <w:t>万元。</w:t>
      </w:r>
    </w:p>
    <w:p w:rsidR="00AE524C" w:rsidRDefault="00AE524C" w:rsidP="00EE0627">
      <w:pPr>
        <w:snapToGrid w:val="0"/>
        <w:ind w:firstLineChars="200" w:firstLine="31680"/>
        <w:rPr>
          <w:rFonts w:ascii="仿宋" w:eastAsia="仿宋" w:hAnsi="仿宋" w:cs="Times New Roman"/>
          <w:kern w:val="0"/>
          <w:sz w:val="32"/>
          <w:szCs w:val="32"/>
        </w:rPr>
      </w:pPr>
      <w:r>
        <w:rPr>
          <w:rFonts w:ascii="仿宋" w:eastAsia="仿宋" w:hAnsi="仿宋" w:cs="仿宋"/>
          <w:b/>
          <w:bCs/>
          <w:sz w:val="32"/>
          <w:szCs w:val="32"/>
        </w:rPr>
        <w:t>3</w:t>
      </w:r>
      <w:r>
        <w:rPr>
          <w:rFonts w:ascii="仿宋" w:eastAsia="仿宋" w:hAnsi="仿宋" w:cs="仿宋" w:hint="eastAsia"/>
          <w:b/>
          <w:bCs/>
          <w:sz w:val="32"/>
          <w:szCs w:val="32"/>
        </w:rPr>
        <w:t>、国有资产占用情况</w:t>
      </w:r>
      <w:r>
        <w:rPr>
          <w:rFonts w:ascii="仿宋" w:eastAsia="仿宋" w:hAnsi="仿宋" w:cs="仿宋" w:hint="eastAsia"/>
          <w:kern w:val="0"/>
          <w:sz w:val="32"/>
          <w:szCs w:val="32"/>
        </w:rPr>
        <w:t>：截至</w:t>
      </w:r>
      <w:r>
        <w:rPr>
          <w:rFonts w:ascii="仿宋" w:eastAsia="仿宋" w:hAnsi="仿宋" w:cs="仿宋"/>
          <w:kern w:val="0"/>
          <w:sz w:val="32"/>
          <w:szCs w:val="32"/>
        </w:rPr>
        <w:t>2017</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31</w:t>
      </w:r>
      <w:r>
        <w:rPr>
          <w:rFonts w:ascii="仿宋" w:eastAsia="仿宋" w:hAnsi="仿宋" w:cs="仿宋" w:hint="eastAsia"/>
          <w:kern w:val="0"/>
          <w:sz w:val="32"/>
          <w:szCs w:val="32"/>
        </w:rPr>
        <w:t>日，本单位共有车辆</w:t>
      </w:r>
      <w:r>
        <w:rPr>
          <w:rFonts w:ascii="仿宋" w:eastAsia="仿宋" w:hAnsi="仿宋" w:cs="仿宋"/>
          <w:kern w:val="0"/>
          <w:sz w:val="32"/>
          <w:szCs w:val="32"/>
        </w:rPr>
        <w:t>25</w:t>
      </w:r>
      <w:r>
        <w:rPr>
          <w:rFonts w:ascii="仿宋" w:eastAsia="仿宋" w:hAnsi="仿宋" w:cs="仿宋" w:hint="eastAsia"/>
          <w:kern w:val="0"/>
          <w:sz w:val="32"/>
          <w:szCs w:val="32"/>
        </w:rPr>
        <w:t>辆，其中，一般公务用车</w:t>
      </w:r>
      <w:r>
        <w:rPr>
          <w:rFonts w:ascii="仿宋" w:eastAsia="仿宋" w:hAnsi="仿宋" w:cs="仿宋"/>
          <w:kern w:val="0"/>
          <w:sz w:val="32"/>
          <w:szCs w:val="32"/>
        </w:rPr>
        <w:t>2</w:t>
      </w:r>
      <w:r>
        <w:rPr>
          <w:rFonts w:ascii="仿宋" w:eastAsia="仿宋" w:hAnsi="仿宋" w:cs="仿宋" w:hint="eastAsia"/>
          <w:kern w:val="0"/>
          <w:sz w:val="32"/>
          <w:szCs w:val="32"/>
        </w:rPr>
        <w:t>辆；单位价值</w:t>
      </w:r>
      <w:r>
        <w:rPr>
          <w:rFonts w:ascii="仿宋" w:eastAsia="仿宋" w:hAnsi="仿宋" w:cs="仿宋"/>
          <w:kern w:val="0"/>
          <w:sz w:val="32"/>
          <w:szCs w:val="32"/>
        </w:rPr>
        <w:t>50</w:t>
      </w:r>
      <w:r>
        <w:rPr>
          <w:rFonts w:ascii="仿宋" w:eastAsia="仿宋" w:hAnsi="仿宋" w:cs="仿宋" w:hint="eastAsia"/>
          <w:kern w:val="0"/>
          <w:sz w:val="32"/>
          <w:szCs w:val="32"/>
        </w:rPr>
        <w:t>万元以上通用设备</w:t>
      </w:r>
      <w:r>
        <w:rPr>
          <w:rFonts w:ascii="仿宋" w:eastAsia="仿宋" w:hAnsi="仿宋" w:cs="仿宋"/>
          <w:kern w:val="0"/>
          <w:sz w:val="32"/>
          <w:szCs w:val="32"/>
        </w:rPr>
        <w:t>0</w:t>
      </w:r>
      <w:r>
        <w:rPr>
          <w:rFonts w:ascii="仿宋" w:eastAsia="仿宋" w:hAnsi="仿宋" w:cs="仿宋" w:hint="eastAsia"/>
          <w:kern w:val="0"/>
          <w:sz w:val="32"/>
          <w:szCs w:val="32"/>
        </w:rPr>
        <w:t>台（套），单价</w:t>
      </w:r>
      <w:r>
        <w:rPr>
          <w:rFonts w:ascii="仿宋" w:eastAsia="仿宋" w:hAnsi="仿宋" w:cs="仿宋"/>
          <w:kern w:val="0"/>
          <w:sz w:val="32"/>
          <w:szCs w:val="32"/>
        </w:rPr>
        <w:t>100</w:t>
      </w:r>
      <w:r>
        <w:rPr>
          <w:rFonts w:ascii="仿宋" w:eastAsia="仿宋" w:hAnsi="仿宋" w:cs="仿宋" w:hint="eastAsia"/>
          <w:kern w:val="0"/>
          <w:sz w:val="32"/>
          <w:szCs w:val="32"/>
        </w:rPr>
        <w:t>万元以上专用设备</w:t>
      </w:r>
      <w:r>
        <w:rPr>
          <w:rFonts w:ascii="仿宋" w:eastAsia="仿宋" w:hAnsi="仿宋" w:cs="仿宋"/>
          <w:kern w:val="0"/>
          <w:sz w:val="32"/>
          <w:szCs w:val="32"/>
        </w:rPr>
        <w:t>0</w:t>
      </w:r>
      <w:r>
        <w:rPr>
          <w:rFonts w:ascii="仿宋" w:eastAsia="仿宋" w:hAnsi="仿宋" w:cs="仿宋" w:hint="eastAsia"/>
          <w:kern w:val="0"/>
          <w:sz w:val="32"/>
          <w:szCs w:val="32"/>
        </w:rPr>
        <w:t>台（套）。</w:t>
      </w:r>
    </w:p>
    <w:tbl>
      <w:tblPr>
        <w:tblW w:w="8900" w:type="dxa"/>
        <w:jc w:val="center"/>
        <w:tblLayout w:type="fixed"/>
        <w:tblLook w:val="00A0"/>
      </w:tblPr>
      <w:tblGrid>
        <w:gridCol w:w="3449"/>
        <w:gridCol w:w="2081"/>
        <w:gridCol w:w="3370"/>
      </w:tblGrid>
      <w:tr w:rsidR="00AE524C">
        <w:trPr>
          <w:trHeight w:val="575"/>
          <w:jc w:val="center"/>
        </w:trPr>
        <w:tc>
          <w:tcPr>
            <w:tcW w:w="8900" w:type="dxa"/>
            <w:gridSpan w:val="3"/>
            <w:tcBorders>
              <w:top w:val="nil"/>
              <w:left w:val="nil"/>
              <w:bottom w:val="nil"/>
              <w:right w:val="nil"/>
            </w:tcBorders>
            <w:vAlign w:val="center"/>
          </w:tcPr>
          <w:p w:rsidR="00AE524C" w:rsidRDefault="00AE524C" w:rsidP="00AE524C">
            <w:pPr>
              <w:widowControl/>
              <w:spacing w:line="560" w:lineRule="exact"/>
              <w:ind w:firstLineChars="200" w:firstLine="31680"/>
              <w:jc w:val="center"/>
              <w:rPr>
                <w:rFonts w:ascii="宋体" w:cs="Times New Roman"/>
                <w:b/>
                <w:bCs/>
                <w:kern w:val="0"/>
                <w:sz w:val="28"/>
                <w:szCs w:val="28"/>
              </w:rPr>
            </w:pPr>
            <w:r>
              <w:rPr>
                <w:rFonts w:ascii="宋体" w:hAnsi="宋体" w:cs="宋体" w:hint="eastAsia"/>
                <w:b/>
                <w:bCs/>
                <w:kern w:val="0"/>
                <w:sz w:val="28"/>
                <w:szCs w:val="28"/>
              </w:rPr>
              <w:t>霸州市国土资源局固定资产占用情况表</w:t>
            </w:r>
          </w:p>
          <w:p w:rsidR="00AE524C" w:rsidRDefault="00AE524C" w:rsidP="00AE524C">
            <w:pPr>
              <w:autoSpaceDE w:val="0"/>
              <w:autoSpaceDN w:val="0"/>
              <w:snapToGrid w:val="0"/>
              <w:spacing w:line="560" w:lineRule="exact"/>
              <w:ind w:firstLineChars="200" w:firstLine="31680"/>
              <w:jc w:val="center"/>
              <w:rPr>
                <w:rFonts w:ascii="宋体" w:cs="Times New Roman"/>
                <w:b/>
                <w:bCs/>
                <w:kern w:val="0"/>
                <w:sz w:val="28"/>
                <w:szCs w:val="28"/>
              </w:rPr>
            </w:pPr>
          </w:p>
        </w:tc>
      </w:tr>
      <w:tr w:rsidR="00AE524C">
        <w:trPr>
          <w:trHeight w:val="493"/>
          <w:jc w:val="center"/>
        </w:trPr>
        <w:tc>
          <w:tcPr>
            <w:tcW w:w="5530" w:type="dxa"/>
            <w:gridSpan w:val="2"/>
            <w:tcBorders>
              <w:top w:val="nil"/>
              <w:left w:val="nil"/>
              <w:bottom w:val="nil"/>
              <w:right w:val="nil"/>
            </w:tcBorders>
            <w:vAlign w:val="center"/>
          </w:tcPr>
          <w:p w:rsidR="00AE524C" w:rsidRDefault="00AE524C" w:rsidP="00AE524C">
            <w:pPr>
              <w:widowControl/>
              <w:spacing w:line="560" w:lineRule="exact"/>
              <w:ind w:firstLineChars="200" w:firstLine="31680"/>
              <w:rPr>
                <w:rFonts w:cs="Times New Roman"/>
                <w:kern w:val="0"/>
                <w:sz w:val="22"/>
                <w:szCs w:val="22"/>
              </w:rPr>
            </w:pPr>
            <w:r>
              <w:rPr>
                <w:rFonts w:ascii="宋体" w:hAnsi="宋体" w:cs="宋体" w:hint="eastAsia"/>
                <w:kern w:val="0"/>
                <w:sz w:val="22"/>
                <w:szCs w:val="22"/>
              </w:rPr>
              <w:t>编制部门：</w:t>
            </w:r>
            <w:r>
              <w:rPr>
                <w:rFonts w:ascii="宋体" w:hAnsi="宋体" w:cs="宋体"/>
                <w:kern w:val="0"/>
                <w:sz w:val="22"/>
                <w:szCs w:val="22"/>
              </w:rPr>
              <w:t>813</w:t>
            </w:r>
            <w:r>
              <w:rPr>
                <w:rFonts w:ascii="宋体" w:hAnsi="宋体" w:cs="宋体" w:hint="eastAsia"/>
                <w:kern w:val="0"/>
                <w:sz w:val="22"/>
                <w:szCs w:val="22"/>
              </w:rPr>
              <w:t>霸州市国土资源局</w:t>
            </w:r>
          </w:p>
        </w:tc>
        <w:tc>
          <w:tcPr>
            <w:tcW w:w="3370" w:type="dxa"/>
            <w:tcBorders>
              <w:top w:val="nil"/>
              <w:left w:val="nil"/>
              <w:bottom w:val="nil"/>
              <w:right w:val="nil"/>
            </w:tcBorders>
            <w:vAlign w:val="center"/>
          </w:tcPr>
          <w:p w:rsidR="00AE524C" w:rsidRDefault="00AE524C">
            <w:pPr>
              <w:widowControl/>
              <w:spacing w:line="560" w:lineRule="exact"/>
              <w:rPr>
                <w:rFonts w:cs="Times New Roman"/>
                <w:kern w:val="0"/>
                <w:sz w:val="22"/>
                <w:szCs w:val="22"/>
              </w:rPr>
            </w:pPr>
            <w:r>
              <w:rPr>
                <w:rFonts w:cs="宋体" w:hint="eastAsia"/>
                <w:kern w:val="0"/>
                <w:sz w:val="22"/>
                <w:szCs w:val="22"/>
              </w:rPr>
              <w:t>截止时间：</w:t>
            </w:r>
            <w:r>
              <w:rPr>
                <w:kern w:val="0"/>
                <w:sz w:val="22"/>
                <w:szCs w:val="22"/>
              </w:rPr>
              <w:t>2017</w:t>
            </w:r>
            <w:r>
              <w:rPr>
                <w:rFonts w:cs="宋体" w:hint="eastAsia"/>
                <w:kern w:val="0"/>
                <w:sz w:val="22"/>
                <w:szCs w:val="22"/>
              </w:rPr>
              <w:t>年</w:t>
            </w:r>
            <w:r>
              <w:rPr>
                <w:kern w:val="0"/>
                <w:sz w:val="22"/>
                <w:szCs w:val="22"/>
              </w:rPr>
              <w:t>12</w:t>
            </w:r>
            <w:r>
              <w:rPr>
                <w:rFonts w:cs="宋体" w:hint="eastAsia"/>
                <w:kern w:val="0"/>
                <w:sz w:val="22"/>
                <w:szCs w:val="22"/>
              </w:rPr>
              <w:t>月</w:t>
            </w:r>
            <w:r>
              <w:rPr>
                <w:kern w:val="0"/>
                <w:sz w:val="22"/>
                <w:szCs w:val="22"/>
              </w:rPr>
              <w:t>31</w:t>
            </w:r>
            <w:r>
              <w:rPr>
                <w:rFonts w:cs="宋体" w:hint="eastAsia"/>
                <w:kern w:val="0"/>
                <w:sz w:val="22"/>
                <w:szCs w:val="22"/>
              </w:rPr>
              <w:t>日</w:t>
            </w:r>
          </w:p>
        </w:tc>
      </w:tr>
      <w:tr w:rsidR="00AE524C">
        <w:trPr>
          <w:trHeight w:val="571"/>
          <w:jc w:val="center"/>
        </w:trPr>
        <w:tc>
          <w:tcPr>
            <w:tcW w:w="3449" w:type="dxa"/>
            <w:tcBorders>
              <w:top w:val="single" w:sz="4" w:space="0" w:color="auto"/>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b/>
                <w:bCs/>
                <w:kern w:val="0"/>
                <w:sz w:val="22"/>
                <w:szCs w:val="22"/>
              </w:rPr>
            </w:pPr>
            <w:r>
              <w:rPr>
                <w:rFonts w:cs="宋体" w:hint="eastAsia"/>
                <w:b/>
                <w:bCs/>
                <w:kern w:val="0"/>
                <w:sz w:val="22"/>
                <w:szCs w:val="22"/>
              </w:rPr>
              <w:t>项目</w:t>
            </w:r>
          </w:p>
        </w:tc>
        <w:tc>
          <w:tcPr>
            <w:tcW w:w="2081" w:type="dxa"/>
            <w:tcBorders>
              <w:top w:val="single" w:sz="4" w:space="0" w:color="auto"/>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b/>
                <w:bCs/>
                <w:kern w:val="0"/>
                <w:sz w:val="22"/>
                <w:szCs w:val="22"/>
              </w:rPr>
            </w:pPr>
            <w:r>
              <w:rPr>
                <w:rFonts w:cs="宋体" w:hint="eastAsia"/>
                <w:b/>
                <w:bCs/>
                <w:kern w:val="0"/>
                <w:sz w:val="22"/>
                <w:szCs w:val="22"/>
              </w:rPr>
              <w:t>数量</w:t>
            </w:r>
          </w:p>
        </w:tc>
        <w:tc>
          <w:tcPr>
            <w:tcW w:w="3370" w:type="dxa"/>
            <w:tcBorders>
              <w:top w:val="single" w:sz="4" w:space="0" w:color="auto"/>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b/>
                <w:bCs/>
                <w:kern w:val="0"/>
                <w:sz w:val="22"/>
                <w:szCs w:val="22"/>
              </w:rPr>
            </w:pPr>
            <w:r>
              <w:rPr>
                <w:rFonts w:cs="宋体" w:hint="eastAsia"/>
                <w:b/>
                <w:bCs/>
                <w:kern w:val="0"/>
                <w:sz w:val="22"/>
                <w:szCs w:val="22"/>
              </w:rPr>
              <w:t>价值（金额单位：万元）</w:t>
            </w:r>
          </w:p>
        </w:tc>
      </w:tr>
      <w:tr w:rsidR="00AE524C">
        <w:trPr>
          <w:trHeight w:val="571"/>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rFonts w:cs="宋体" w:hint="eastAsia"/>
                <w:kern w:val="0"/>
                <w:sz w:val="22"/>
                <w:szCs w:val="22"/>
              </w:rPr>
              <w:t>资产总额</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w:t>
            </w: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6105.68</w:t>
            </w:r>
          </w:p>
        </w:tc>
      </w:tr>
      <w:tr w:rsidR="00AE524C">
        <w:trPr>
          <w:trHeight w:val="571"/>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1</w:t>
            </w:r>
            <w:r>
              <w:rPr>
                <w:rFonts w:cs="宋体" w:hint="eastAsia"/>
                <w:kern w:val="0"/>
                <w:sz w:val="22"/>
                <w:szCs w:val="22"/>
              </w:rPr>
              <w:t>、房屋（平方米）</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10945.04</w:t>
            </w: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4766.26</w:t>
            </w:r>
          </w:p>
        </w:tc>
      </w:tr>
      <w:tr w:rsidR="00AE524C">
        <w:trPr>
          <w:trHeight w:val="571"/>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400" w:firstLine="31680"/>
              <w:rPr>
                <w:rFonts w:cs="Times New Roman"/>
                <w:kern w:val="0"/>
                <w:sz w:val="22"/>
                <w:szCs w:val="22"/>
              </w:rPr>
            </w:pPr>
            <w:r>
              <w:rPr>
                <w:rFonts w:cs="宋体" w:hint="eastAsia"/>
                <w:kern w:val="0"/>
                <w:sz w:val="22"/>
                <w:szCs w:val="22"/>
              </w:rPr>
              <w:t>其中：办公用房（平方米）</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10397</w:t>
            </w: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4716.16</w:t>
            </w:r>
          </w:p>
        </w:tc>
      </w:tr>
      <w:tr w:rsidR="00AE524C">
        <w:trPr>
          <w:trHeight w:val="571"/>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2</w:t>
            </w:r>
            <w:r>
              <w:rPr>
                <w:rFonts w:cs="宋体" w:hint="eastAsia"/>
                <w:kern w:val="0"/>
                <w:sz w:val="22"/>
                <w:szCs w:val="22"/>
              </w:rPr>
              <w:t>、车辆（台、辆）</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25</w:t>
            </w: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614.92</w:t>
            </w:r>
          </w:p>
        </w:tc>
      </w:tr>
      <w:tr w:rsidR="00AE524C">
        <w:trPr>
          <w:trHeight w:val="571"/>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3</w:t>
            </w:r>
            <w:r>
              <w:rPr>
                <w:rFonts w:cs="宋体" w:hint="eastAsia"/>
                <w:kern w:val="0"/>
                <w:sz w:val="22"/>
                <w:szCs w:val="22"/>
              </w:rPr>
              <w:t>、单价在</w:t>
            </w:r>
            <w:r>
              <w:rPr>
                <w:kern w:val="0"/>
                <w:sz w:val="22"/>
                <w:szCs w:val="22"/>
              </w:rPr>
              <w:t>50</w:t>
            </w:r>
            <w:r>
              <w:rPr>
                <w:rFonts w:cs="宋体" w:hint="eastAsia"/>
                <w:kern w:val="0"/>
                <w:sz w:val="22"/>
                <w:szCs w:val="22"/>
              </w:rPr>
              <w:t>万元以上的设备</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p>
        </w:tc>
      </w:tr>
      <w:tr w:rsidR="00AE524C">
        <w:trPr>
          <w:trHeight w:val="613"/>
          <w:jc w:val="center"/>
        </w:trPr>
        <w:tc>
          <w:tcPr>
            <w:tcW w:w="3449" w:type="dxa"/>
            <w:tcBorders>
              <w:top w:val="nil"/>
              <w:left w:val="single" w:sz="4" w:space="0" w:color="auto"/>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4</w:t>
            </w:r>
            <w:r>
              <w:rPr>
                <w:rFonts w:cs="宋体" w:hint="eastAsia"/>
                <w:kern w:val="0"/>
                <w:sz w:val="22"/>
                <w:szCs w:val="22"/>
              </w:rPr>
              <w:t>、其他固定资产</w:t>
            </w:r>
          </w:p>
        </w:tc>
        <w:tc>
          <w:tcPr>
            <w:tcW w:w="2081"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p>
        </w:tc>
        <w:tc>
          <w:tcPr>
            <w:tcW w:w="3370" w:type="dxa"/>
            <w:tcBorders>
              <w:top w:val="nil"/>
              <w:left w:val="nil"/>
              <w:bottom w:val="single" w:sz="4" w:space="0" w:color="auto"/>
              <w:right w:val="single" w:sz="4" w:space="0" w:color="auto"/>
            </w:tcBorders>
            <w:vAlign w:val="center"/>
          </w:tcPr>
          <w:p w:rsidR="00AE524C" w:rsidRDefault="00AE524C" w:rsidP="00AE524C">
            <w:pPr>
              <w:widowControl/>
              <w:spacing w:line="560" w:lineRule="exact"/>
              <w:ind w:firstLineChars="200" w:firstLine="31680"/>
              <w:rPr>
                <w:rFonts w:cs="Times New Roman"/>
                <w:kern w:val="0"/>
                <w:sz w:val="22"/>
                <w:szCs w:val="22"/>
              </w:rPr>
            </w:pPr>
            <w:r>
              <w:rPr>
                <w:kern w:val="0"/>
                <w:sz w:val="22"/>
                <w:szCs w:val="22"/>
              </w:rPr>
              <w:t>724.5</w:t>
            </w:r>
          </w:p>
        </w:tc>
      </w:tr>
    </w:tbl>
    <w:p w:rsidR="00AE524C" w:rsidRDefault="00AE524C" w:rsidP="00AE524C">
      <w:pPr>
        <w:snapToGrid w:val="0"/>
        <w:ind w:firstLineChars="200" w:firstLine="31680"/>
        <w:rPr>
          <w:rFonts w:ascii="仿宋" w:eastAsia="仿宋" w:hAnsi="仿宋" w:cs="Times New Roman"/>
          <w:kern w:val="0"/>
          <w:sz w:val="32"/>
          <w:szCs w:val="32"/>
        </w:rPr>
      </w:pPr>
    </w:p>
    <w:p w:rsidR="00AE524C" w:rsidRDefault="00AE524C">
      <w:pPr>
        <w:snapToGrid w:val="0"/>
        <w:ind w:firstLine="643"/>
        <w:rPr>
          <w:rFonts w:ascii="仿宋" w:eastAsia="仿宋" w:hAnsi="仿宋" w:cs="Times New Roman"/>
          <w:kern w:val="0"/>
          <w:sz w:val="32"/>
          <w:szCs w:val="32"/>
        </w:rPr>
      </w:pPr>
      <w:r>
        <w:rPr>
          <w:rFonts w:ascii="楷体" w:eastAsia="楷体" w:hAnsi="楷体" w:cs="楷体"/>
          <w:b/>
          <w:bCs/>
          <w:sz w:val="32"/>
          <w:szCs w:val="32"/>
        </w:rPr>
        <w:t>4</w:t>
      </w:r>
      <w:r>
        <w:rPr>
          <w:rFonts w:ascii="楷体" w:eastAsia="楷体" w:hAnsi="楷体" w:cs="楷体" w:hint="eastAsia"/>
          <w:b/>
          <w:bCs/>
          <w:sz w:val="32"/>
          <w:szCs w:val="32"/>
        </w:rPr>
        <w:t>、其他需要说明的情况：</w:t>
      </w:r>
      <w:r>
        <w:rPr>
          <w:rFonts w:ascii="仿宋" w:eastAsia="仿宋" w:hAnsi="仿宋" w:cs="仿宋" w:hint="eastAsia"/>
          <w:kern w:val="0"/>
          <w:sz w:val="32"/>
          <w:szCs w:val="32"/>
        </w:rPr>
        <w:t>由于决算公开表格中金额数值应当保留两位小数，公开数据为四舍五入计算结果，个别数据合计项与分项之和存在小数点后差额，特此说明。</w:t>
      </w:r>
    </w:p>
    <w:p w:rsidR="00AE524C" w:rsidRDefault="00AE524C" w:rsidP="00EE0627">
      <w:pPr>
        <w:pStyle w:val="p0"/>
        <w:ind w:firstLineChars="200" w:firstLine="31680"/>
        <w:rPr>
          <w:rFonts w:ascii="黑体" w:eastAsia="黑体" w:hAnsi="黑体"/>
          <w:sz w:val="32"/>
          <w:szCs w:val="32"/>
        </w:rPr>
      </w:pPr>
      <w:r>
        <w:rPr>
          <w:rFonts w:ascii="黑体" w:eastAsia="黑体" w:hAnsi="黑体" w:cs="黑体" w:hint="eastAsia"/>
          <w:sz w:val="32"/>
          <w:szCs w:val="32"/>
        </w:rPr>
        <w:t>四、名词解释</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（一）财政拨款收入：本年度从本级财政部门取得的财政拨款，包括一般公共预算财政拨款和政府性基金预算财政拨款。</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（二）事业收入：指事业单位开展专业业务活动及辅助活动所取得的收入。</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（三）其他收入：指除上述“财政拨款收入”、“事业收入”、“经营收入”等以外的收入。</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（五）年初结转和结余：指以前年度尚未完成、结转到本年仍按原规定用途继续使用的资金，或项目已完成等产生的结余资金。</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（六）结余分配：指事业单位按照事业单位会计制度的规定从非财政补助结余中分配的事业基金和职工福利基金等。</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（七）年末结转和结余：指单位按有关规定结转到下年或以后年度继续使用的资金，或项目已完成等产生的结余资金。</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（八）基本支出：填列单位为保障机构正常运转、完成日常工作任务而发生的各项支出。</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（九）项目支出：填列单位为完成特定的行政工作任务或事业发展目标，在基本支出之外发生的各项支出。</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（十三）其他交通费用：填列单位除公务用车运行维护费以外的其他交通费用。如飞机、船舶等的燃料费、维修费、过桥过路费、保险费、出租车费用、公务交通补贴等。</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（十四）公务用车购置：填列单位公务用车车辆购置支出（含车辆购置税）。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（十五）其他交通工具购置：填列单位除公务用车外的其他各类交通工具（如船舶、飞机）购置支出（含车辆购置税）。</w:t>
      </w:r>
    </w:p>
    <w:p w:rsidR="00AE524C" w:rsidRDefault="00AE524C" w:rsidP="00EE0627">
      <w:pPr>
        <w:pStyle w:val="p0"/>
        <w:ind w:firstLineChars="200" w:firstLine="31680"/>
        <w:rPr>
          <w:rFonts w:ascii="仿宋" w:eastAsia="仿宋" w:hAnsi="仿宋"/>
          <w:sz w:val="32"/>
          <w:szCs w:val="32"/>
        </w:rPr>
      </w:pPr>
      <w:r>
        <w:rPr>
          <w:rFonts w:ascii="仿宋" w:eastAsia="仿宋" w:hAnsi="仿宋" w:cs="仿宋" w:hint="eastAsia"/>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E524C" w:rsidRDefault="00AE524C" w:rsidP="009756A9">
      <w:pPr>
        <w:pStyle w:val="p0"/>
        <w:ind w:firstLineChars="200" w:firstLine="31680"/>
        <w:rPr>
          <w:rFonts w:ascii="仿宋" w:eastAsia="仿宋" w:hAnsi="仿宋"/>
          <w:sz w:val="32"/>
          <w:szCs w:val="32"/>
        </w:rPr>
      </w:pPr>
    </w:p>
    <w:sectPr w:rsidR="00AE524C" w:rsidSect="00A84EA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宋体"/>
    <w:panose1 w:val="00000000000000000000"/>
    <w:charset w:val="86"/>
    <w:family w:val="auto"/>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55A2"/>
    <w:multiLevelType w:val="multilevel"/>
    <w:tmpl w:val="308755A2"/>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A0"/>
    <w:rsid w:val="00003F2D"/>
    <w:rsid w:val="000153BC"/>
    <w:rsid w:val="00022DD6"/>
    <w:rsid w:val="00027739"/>
    <w:rsid w:val="00027A57"/>
    <w:rsid w:val="00032498"/>
    <w:rsid w:val="00052745"/>
    <w:rsid w:val="0006234F"/>
    <w:rsid w:val="00074BE6"/>
    <w:rsid w:val="000771E3"/>
    <w:rsid w:val="00083E5C"/>
    <w:rsid w:val="00085243"/>
    <w:rsid w:val="00091E14"/>
    <w:rsid w:val="00092A9E"/>
    <w:rsid w:val="00095C36"/>
    <w:rsid w:val="000966F1"/>
    <w:rsid w:val="000A352F"/>
    <w:rsid w:val="000B7C14"/>
    <w:rsid w:val="000C64E9"/>
    <w:rsid w:val="000E2BB8"/>
    <w:rsid w:val="000F5796"/>
    <w:rsid w:val="00110E35"/>
    <w:rsid w:val="00121A1C"/>
    <w:rsid w:val="00126274"/>
    <w:rsid w:val="001265AF"/>
    <w:rsid w:val="0013224B"/>
    <w:rsid w:val="00134CFF"/>
    <w:rsid w:val="001373E9"/>
    <w:rsid w:val="001440F7"/>
    <w:rsid w:val="001477F1"/>
    <w:rsid w:val="001538AE"/>
    <w:rsid w:val="001570B6"/>
    <w:rsid w:val="001577CC"/>
    <w:rsid w:val="00182FC3"/>
    <w:rsid w:val="00191290"/>
    <w:rsid w:val="0019413A"/>
    <w:rsid w:val="001C1F63"/>
    <w:rsid w:val="001E1682"/>
    <w:rsid w:val="001E1843"/>
    <w:rsid w:val="001E774A"/>
    <w:rsid w:val="001F3B3E"/>
    <w:rsid w:val="001F3F61"/>
    <w:rsid w:val="00205AEA"/>
    <w:rsid w:val="002074D9"/>
    <w:rsid w:val="002222A2"/>
    <w:rsid w:val="00233117"/>
    <w:rsid w:val="002428F5"/>
    <w:rsid w:val="00244918"/>
    <w:rsid w:val="00265046"/>
    <w:rsid w:val="00267524"/>
    <w:rsid w:val="00272510"/>
    <w:rsid w:val="00291147"/>
    <w:rsid w:val="002926BC"/>
    <w:rsid w:val="00292D94"/>
    <w:rsid w:val="002A1A0C"/>
    <w:rsid w:val="002A6872"/>
    <w:rsid w:val="002C5968"/>
    <w:rsid w:val="002E1E55"/>
    <w:rsid w:val="002F0848"/>
    <w:rsid w:val="002F4CA0"/>
    <w:rsid w:val="00304EF6"/>
    <w:rsid w:val="00311782"/>
    <w:rsid w:val="00316637"/>
    <w:rsid w:val="00351AB1"/>
    <w:rsid w:val="00353CFD"/>
    <w:rsid w:val="00355705"/>
    <w:rsid w:val="003572C2"/>
    <w:rsid w:val="0037249B"/>
    <w:rsid w:val="003731EF"/>
    <w:rsid w:val="00393417"/>
    <w:rsid w:val="003A02BA"/>
    <w:rsid w:val="003A36F6"/>
    <w:rsid w:val="003A3B41"/>
    <w:rsid w:val="003B0777"/>
    <w:rsid w:val="003E7550"/>
    <w:rsid w:val="003F6699"/>
    <w:rsid w:val="003F70C2"/>
    <w:rsid w:val="00417558"/>
    <w:rsid w:val="004340D9"/>
    <w:rsid w:val="0046735F"/>
    <w:rsid w:val="00474F51"/>
    <w:rsid w:val="00491E2D"/>
    <w:rsid w:val="004C33B8"/>
    <w:rsid w:val="004C6D35"/>
    <w:rsid w:val="004E73D2"/>
    <w:rsid w:val="0051145F"/>
    <w:rsid w:val="005160E5"/>
    <w:rsid w:val="005268D7"/>
    <w:rsid w:val="00532955"/>
    <w:rsid w:val="00554373"/>
    <w:rsid w:val="00563D98"/>
    <w:rsid w:val="00564868"/>
    <w:rsid w:val="005649CB"/>
    <w:rsid w:val="005942C7"/>
    <w:rsid w:val="005968A3"/>
    <w:rsid w:val="005B6802"/>
    <w:rsid w:val="005C4801"/>
    <w:rsid w:val="005D70FF"/>
    <w:rsid w:val="005E7ECF"/>
    <w:rsid w:val="006061C8"/>
    <w:rsid w:val="00611718"/>
    <w:rsid w:val="00614450"/>
    <w:rsid w:val="0061608E"/>
    <w:rsid w:val="006208DB"/>
    <w:rsid w:val="00626DEF"/>
    <w:rsid w:val="006445C9"/>
    <w:rsid w:val="006454AF"/>
    <w:rsid w:val="0065304B"/>
    <w:rsid w:val="00657BB5"/>
    <w:rsid w:val="006C3B79"/>
    <w:rsid w:val="006D0976"/>
    <w:rsid w:val="006E5A9E"/>
    <w:rsid w:val="006E6AC3"/>
    <w:rsid w:val="006F4886"/>
    <w:rsid w:val="00701F3C"/>
    <w:rsid w:val="00714407"/>
    <w:rsid w:val="00734941"/>
    <w:rsid w:val="007610A8"/>
    <w:rsid w:val="00763DD8"/>
    <w:rsid w:val="0077044D"/>
    <w:rsid w:val="00773501"/>
    <w:rsid w:val="0079560A"/>
    <w:rsid w:val="007C2160"/>
    <w:rsid w:val="007D65F7"/>
    <w:rsid w:val="007E1A43"/>
    <w:rsid w:val="007E304D"/>
    <w:rsid w:val="007E5B69"/>
    <w:rsid w:val="007E67C3"/>
    <w:rsid w:val="007F646C"/>
    <w:rsid w:val="00807160"/>
    <w:rsid w:val="0081612F"/>
    <w:rsid w:val="00835CBA"/>
    <w:rsid w:val="008378D0"/>
    <w:rsid w:val="008774EA"/>
    <w:rsid w:val="0088238A"/>
    <w:rsid w:val="008960E5"/>
    <w:rsid w:val="008A5465"/>
    <w:rsid w:val="008B6A8D"/>
    <w:rsid w:val="008D1151"/>
    <w:rsid w:val="008D6683"/>
    <w:rsid w:val="008D6E12"/>
    <w:rsid w:val="008E26DD"/>
    <w:rsid w:val="008F2964"/>
    <w:rsid w:val="008F5F71"/>
    <w:rsid w:val="00906D9F"/>
    <w:rsid w:val="00914E4C"/>
    <w:rsid w:val="00961C51"/>
    <w:rsid w:val="00962145"/>
    <w:rsid w:val="00963750"/>
    <w:rsid w:val="009645C9"/>
    <w:rsid w:val="00973104"/>
    <w:rsid w:val="009756A9"/>
    <w:rsid w:val="00976D2E"/>
    <w:rsid w:val="00981639"/>
    <w:rsid w:val="009937E7"/>
    <w:rsid w:val="009A2C60"/>
    <w:rsid w:val="009C380C"/>
    <w:rsid w:val="009D028C"/>
    <w:rsid w:val="009D2B8F"/>
    <w:rsid w:val="009E1244"/>
    <w:rsid w:val="00A0013E"/>
    <w:rsid w:val="00A259AF"/>
    <w:rsid w:val="00A36988"/>
    <w:rsid w:val="00A52D46"/>
    <w:rsid w:val="00A61F0D"/>
    <w:rsid w:val="00A6663B"/>
    <w:rsid w:val="00A84EA8"/>
    <w:rsid w:val="00A8554E"/>
    <w:rsid w:val="00A96280"/>
    <w:rsid w:val="00AB029F"/>
    <w:rsid w:val="00AD1B3A"/>
    <w:rsid w:val="00AD41F6"/>
    <w:rsid w:val="00AE3F57"/>
    <w:rsid w:val="00AE524C"/>
    <w:rsid w:val="00AE7955"/>
    <w:rsid w:val="00B2238F"/>
    <w:rsid w:val="00B24BDF"/>
    <w:rsid w:val="00B33211"/>
    <w:rsid w:val="00B376D6"/>
    <w:rsid w:val="00B41A9F"/>
    <w:rsid w:val="00B533F2"/>
    <w:rsid w:val="00B72A1F"/>
    <w:rsid w:val="00B74261"/>
    <w:rsid w:val="00B77CF4"/>
    <w:rsid w:val="00B77EF4"/>
    <w:rsid w:val="00B80561"/>
    <w:rsid w:val="00B806FA"/>
    <w:rsid w:val="00B97373"/>
    <w:rsid w:val="00BA0764"/>
    <w:rsid w:val="00BA2841"/>
    <w:rsid w:val="00BB05C9"/>
    <w:rsid w:val="00BC14FF"/>
    <w:rsid w:val="00BD57DE"/>
    <w:rsid w:val="00BF1090"/>
    <w:rsid w:val="00BF2CD8"/>
    <w:rsid w:val="00BF3BE7"/>
    <w:rsid w:val="00C177AE"/>
    <w:rsid w:val="00C31E98"/>
    <w:rsid w:val="00C4436F"/>
    <w:rsid w:val="00C46CF7"/>
    <w:rsid w:val="00C67656"/>
    <w:rsid w:val="00C857B1"/>
    <w:rsid w:val="00C85A60"/>
    <w:rsid w:val="00C86B3A"/>
    <w:rsid w:val="00C92780"/>
    <w:rsid w:val="00C93A36"/>
    <w:rsid w:val="00C978C3"/>
    <w:rsid w:val="00CA1030"/>
    <w:rsid w:val="00CC0B44"/>
    <w:rsid w:val="00CC78B1"/>
    <w:rsid w:val="00CD457F"/>
    <w:rsid w:val="00CE4CBE"/>
    <w:rsid w:val="00D06225"/>
    <w:rsid w:val="00D12A54"/>
    <w:rsid w:val="00D2597A"/>
    <w:rsid w:val="00D31B8B"/>
    <w:rsid w:val="00D33F56"/>
    <w:rsid w:val="00D35124"/>
    <w:rsid w:val="00D40813"/>
    <w:rsid w:val="00D640C9"/>
    <w:rsid w:val="00D65BF3"/>
    <w:rsid w:val="00D66578"/>
    <w:rsid w:val="00D66BA8"/>
    <w:rsid w:val="00D703AD"/>
    <w:rsid w:val="00D720B9"/>
    <w:rsid w:val="00D846FB"/>
    <w:rsid w:val="00D86986"/>
    <w:rsid w:val="00D9174F"/>
    <w:rsid w:val="00D945C7"/>
    <w:rsid w:val="00D96BF5"/>
    <w:rsid w:val="00DA1802"/>
    <w:rsid w:val="00DA3FE2"/>
    <w:rsid w:val="00DB35DC"/>
    <w:rsid w:val="00DB526A"/>
    <w:rsid w:val="00DB67D1"/>
    <w:rsid w:val="00DC2910"/>
    <w:rsid w:val="00DD2373"/>
    <w:rsid w:val="00E075FD"/>
    <w:rsid w:val="00E076D0"/>
    <w:rsid w:val="00E1273B"/>
    <w:rsid w:val="00E176D7"/>
    <w:rsid w:val="00E21E00"/>
    <w:rsid w:val="00E22EAB"/>
    <w:rsid w:val="00E32477"/>
    <w:rsid w:val="00E510CE"/>
    <w:rsid w:val="00E563DF"/>
    <w:rsid w:val="00E734C4"/>
    <w:rsid w:val="00E742C0"/>
    <w:rsid w:val="00E901E4"/>
    <w:rsid w:val="00EA09C3"/>
    <w:rsid w:val="00EA0D0F"/>
    <w:rsid w:val="00EC5FD9"/>
    <w:rsid w:val="00EE0627"/>
    <w:rsid w:val="00EE3F89"/>
    <w:rsid w:val="00EE7A14"/>
    <w:rsid w:val="00EF20A5"/>
    <w:rsid w:val="00EF279F"/>
    <w:rsid w:val="00F035A7"/>
    <w:rsid w:val="00F067C5"/>
    <w:rsid w:val="00F24BD2"/>
    <w:rsid w:val="00F27A71"/>
    <w:rsid w:val="00F4155B"/>
    <w:rsid w:val="00F47C54"/>
    <w:rsid w:val="00F618DC"/>
    <w:rsid w:val="00F632CF"/>
    <w:rsid w:val="00F649CB"/>
    <w:rsid w:val="00F66032"/>
    <w:rsid w:val="00F81BC3"/>
    <w:rsid w:val="00F87EE7"/>
    <w:rsid w:val="00F93068"/>
    <w:rsid w:val="00F94141"/>
    <w:rsid w:val="00FB17E8"/>
    <w:rsid w:val="00FB26D8"/>
    <w:rsid w:val="00FC1D47"/>
    <w:rsid w:val="00FC2FE8"/>
    <w:rsid w:val="00FC4E71"/>
    <w:rsid w:val="00FF230C"/>
    <w:rsid w:val="016A55A1"/>
    <w:rsid w:val="020F7AAB"/>
    <w:rsid w:val="06161FD5"/>
    <w:rsid w:val="0DDA011C"/>
    <w:rsid w:val="0ECE01FE"/>
    <w:rsid w:val="115603E7"/>
    <w:rsid w:val="156E300E"/>
    <w:rsid w:val="1899181E"/>
    <w:rsid w:val="1A6F3E1B"/>
    <w:rsid w:val="1B22576C"/>
    <w:rsid w:val="1CA746AB"/>
    <w:rsid w:val="22A343BF"/>
    <w:rsid w:val="24397018"/>
    <w:rsid w:val="26BB6B05"/>
    <w:rsid w:val="29576795"/>
    <w:rsid w:val="2B134D5F"/>
    <w:rsid w:val="2E325B3A"/>
    <w:rsid w:val="30121754"/>
    <w:rsid w:val="34E43D9F"/>
    <w:rsid w:val="35661E03"/>
    <w:rsid w:val="3C281693"/>
    <w:rsid w:val="3C7A3D3A"/>
    <w:rsid w:val="400D1223"/>
    <w:rsid w:val="4116223C"/>
    <w:rsid w:val="477076A3"/>
    <w:rsid w:val="4B6A1DB3"/>
    <w:rsid w:val="4C892D89"/>
    <w:rsid w:val="4F025B25"/>
    <w:rsid w:val="5004230D"/>
    <w:rsid w:val="51501480"/>
    <w:rsid w:val="52E1014A"/>
    <w:rsid w:val="54BE7D0D"/>
    <w:rsid w:val="575F2B85"/>
    <w:rsid w:val="58E658DC"/>
    <w:rsid w:val="5BC418DD"/>
    <w:rsid w:val="5C1A6867"/>
    <w:rsid w:val="5C9425A7"/>
    <w:rsid w:val="5C984154"/>
    <w:rsid w:val="664E6229"/>
    <w:rsid w:val="68AB7BE9"/>
    <w:rsid w:val="68BA142A"/>
    <w:rsid w:val="6CDD4895"/>
    <w:rsid w:val="74BA34E9"/>
    <w:rsid w:val="75CA0275"/>
    <w:rsid w:val="76134D0C"/>
    <w:rsid w:val="77A03E0A"/>
    <w:rsid w:val="7BF603B2"/>
    <w:rsid w:val="7BF943DD"/>
    <w:rsid w:val="7FE547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EA8"/>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A84EA8"/>
    <w:rPr>
      <w:sz w:val="18"/>
      <w:szCs w:val="18"/>
    </w:rPr>
  </w:style>
  <w:style w:type="paragraph" w:styleId="Header">
    <w:name w:val="header"/>
    <w:basedOn w:val="Normal"/>
    <w:link w:val="HeaderChar"/>
    <w:uiPriority w:val="99"/>
    <w:rsid w:val="00A84EA8"/>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A84EA8"/>
    <w:rPr>
      <w:sz w:val="18"/>
      <w:szCs w:val="18"/>
    </w:rPr>
  </w:style>
  <w:style w:type="paragraph" w:customStyle="1" w:styleId="1">
    <w:name w:val="正文1"/>
    <w:basedOn w:val="Normal"/>
    <w:uiPriority w:val="99"/>
    <w:rsid w:val="00A84EA8"/>
    <w:pPr>
      <w:widowControl/>
    </w:pPr>
    <w:rPr>
      <w:kern w:val="0"/>
      <w:lang w:eastAsia="en-US"/>
    </w:rPr>
  </w:style>
  <w:style w:type="paragraph" w:customStyle="1" w:styleId="p0">
    <w:name w:val="p0"/>
    <w:basedOn w:val="Normal"/>
    <w:uiPriority w:val="99"/>
    <w:rsid w:val="00A84EA8"/>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2603</TotalTime>
  <Pages>14</Pages>
  <Words>851</Words>
  <Characters>4851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340</cp:revision>
  <dcterms:created xsi:type="dcterms:W3CDTF">2017-08-30T01:50:00Z</dcterms:created>
  <dcterms:modified xsi:type="dcterms:W3CDTF">2019-01-29T09:13:00Z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